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入库专家筛选条件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遵守国家宪法和法律，具有良好的科学品德和职业道德。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作风正派，办事公道，热心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知识产权专利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专业技术资格评审工作，能认真履行职责，遵守评审工作纪律。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能正确掌握和执行国家及我省有关职称改革工作的政策。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专业技术能力要求：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000000"/>
          <w:sz w:val="32"/>
          <w:szCs w:val="32"/>
        </w:rPr>
        <w:t>　　1.具有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级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以上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含中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级）专业技术资格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000000"/>
          <w:sz w:val="32"/>
          <w:szCs w:val="32"/>
        </w:rPr>
        <w:t>　　2.长期从事知识产权（专利）工作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专业基础理论知识深厚，实践经验丰富，有曾经担任过重大项目或解决重大疑难专业技术问题的经历，业绩显著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4.在行业内有较高知名度。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五、年龄在18岁以上，60岁以下。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造字工房力黑（非商用）常规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正粗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新唐人簡篆体">
    <w:altName w:val="Yu Gothic"/>
    <w:panose1 w:val="030F0600010101010101"/>
    <w:charset w:val="80"/>
    <w:family w:val="auto"/>
    <w:pitch w:val="default"/>
    <w:sig w:usb0="00000000" w:usb1="00000000" w:usb2="00000000" w:usb3="00000000" w:csb0="0002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有澤行書">
    <w:altName w:val="Mongolian Baiti"/>
    <w:panose1 w:val="03000509000000000000"/>
    <w:charset w:val="00"/>
    <w:family w:val="auto"/>
    <w:pitch w:val="default"/>
    <w:sig w:usb0="00000000" w:usb1="00000000" w:usb2="00000000" w:usb3="00000000" w:csb0="00000000" w:csb1="00000000"/>
  </w:font>
  <w:font w:name="汉仪粗圆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A2BBB"/>
    <w:multiLevelType w:val="singleLevel"/>
    <w:tmpl w:val="594A2BB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84572"/>
    <w:rsid w:val="500A2C5B"/>
    <w:rsid w:val="79367CAF"/>
    <w:rsid w:val="7AB138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zhuojun</dc:creator>
  <cp:lastModifiedBy>许小姒</cp:lastModifiedBy>
  <dcterms:modified xsi:type="dcterms:W3CDTF">2018-01-29T10:05:53Z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