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after="1"/>
        <w:ind w:left="0"/>
        <w:rPr>
          <w:rFonts w:ascii="Times New Roman"/>
          <w:sz w:val="26"/>
        </w:rPr>
      </w:pPr>
    </w:p>
    <w:p>
      <w:pPr>
        <w:pStyle w:val="BodyText"/>
        <w:ind w:left="168"/>
        <w:rPr>
          <w:rFonts w:ascii="Times New Roman"/>
          <w:sz w:val="20"/>
        </w:rPr>
      </w:pPr>
      <w:r>
        <w:rPr>
          <w:rFonts w:ascii="Times New Roman"/>
          <w:sz w:val="20"/>
        </w:rPr>
        <w:drawing>
          <wp:inline distT="0" distB="0" distL="0" distR="0">
            <wp:extent cx="5577840" cy="5715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577840" cy="571500"/>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19"/>
        </w:rPr>
      </w:pPr>
    </w:p>
    <w:p>
      <w:pPr>
        <w:pStyle w:val="BodyText"/>
        <w:ind w:left="583" w:right="565"/>
        <w:jc w:val="center"/>
      </w:pPr>
      <w:r>
        <w:rPr/>
        <w:t>珠富山字〔2019〕35 号</w:t>
      </w:r>
    </w:p>
    <w:p>
      <w:pPr>
        <w:pStyle w:val="BodyText"/>
        <w:spacing w:before="12"/>
        <w:ind w:left="0"/>
        <w:rPr>
          <w:sz w:val="11"/>
        </w:rPr>
      </w:pPr>
      <w:r>
        <w:rPr/>
        <w:pict>
          <v:line style="position:absolute;mso-position-horizontal-relative:page;mso-position-vertical-relative:paragraph;z-index:0;mso-wrap-distance-left:0;mso-wrap-distance-right:0" from="75.959999pt,11.153021pt" to="518.159989pt,11.153021pt" stroked="true" strokeweight="2.76pt" strokecolor="#ff0000">
            <v:stroke dashstyle="solid"/>
            <w10:wrap type="topAndBottom"/>
          </v:line>
        </w:pict>
      </w:r>
    </w:p>
    <w:p>
      <w:pPr>
        <w:pStyle w:val="BodyText"/>
        <w:ind w:left="0"/>
      </w:pPr>
    </w:p>
    <w:p>
      <w:pPr>
        <w:pStyle w:val="BodyText"/>
        <w:ind w:left="0"/>
      </w:pPr>
    </w:p>
    <w:p>
      <w:pPr>
        <w:pStyle w:val="BodyText"/>
        <w:spacing w:before="10"/>
        <w:ind w:left="0"/>
        <w:rPr>
          <w:sz w:val="23"/>
        </w:rPr>
      </w:pPr>
    </w:p>
    <w:p>
      <w:pPr>
        <w:pStyle w:val="Heading1"/>
        <w:ind w:firstLine="0"/>
        <w:jc w:val="center"/>
      </w:pPr>
      <w:r>
        <w:rPr>
          <w:w w:val="95"/>
        </w:rPr>
        <w:t>关于印发《珠海市富山工业园促进实体经济 高质量发展的若干措施》的通知</w:t>
      </w:r>
    </w:p>
    <w:p>
      <w:pPr>
        <w:pStyle w:val="BodyText"/>
        <w:spacing w:before="6"/>
        <w:ind w:left="0"/>
        <w:rPr>
          <w:rFonts w:ascii="PMingLiU"/>
          <w:sz w:val="53"/>
        </w:rPr>
      </w:pPr>
    </w:p>
    <w:p>
      <w:pPr>
        <w:pStyle w:val="BodyText"/>
        <w:spacing w:before="1"/>
        <w:ind w:left="148"/>
        <w:rPr>
          <w:rFonts w:ascii="楷体" w:eastAsia="楷体" w:hint="eastAsia"/>
        </w:rPr>
      </w:pPr>
      <w:r>
        <w:rPr>
          <w:rFonts w:ascii="楷体" w:eastAsia="楷体" w:hint="eastAsia"/>
          <w:w w:val="95"/>
        </w:rPr>
        <w:t>各局、办、中心，园区开发公司，园区各企业：</w:t>
      </w:r>
    </w:p>
    <w:p>
      <w:pPr>
        <w:pStyle w:val="BodyText"/>
        <w:spacing w:line="331" w:lineRule="auto" w:before="160"/>
        <w:ind w:left="148" w:right="121" w:firstLine="624"/>
        <w:jc w:val="both"/>
        <w:rPr>
          <w:rFonts w:ascii="楷体" w:eastAsia="楷体" w:hint="eastAsia"/>
        </w:rPr>
      </w:pPr>
      <w:r>
        <w:rPr>
          <w:rFonts w:ascii="楷体" w:eastAsia="楷体" w:hint="eastAsia"/>
          <w:spacing w:val="-6"/>
          <w:w w:val="95"/>
        </w:rPr>
        <w:t>《珠海市富山工业园促进实体经济高质量发展的若干措施》 </w:t>
      </w:r>
      <w:r>
        <w:rPr>
          <w:rFonts w:ascii="楷体" w:eastAsia="楷体" w:hint="eastAsia"/>
          <w:spacing w:val="-5"/>
          <w:w w:val="95"/>
        </w:rPr>
        <w:t>已经园区主任办公会议研究同意，现印发给你们，请认真执行。 </w:t>
      </w:r>
      <w:r>
        <w:rPr>
          <w:rFonts w:ascii="楷体" w:eastAsia="楷体" w:hint="eastAsia"/>
          <w:spacing w:val="-8"/>
          <w:w w:val="95"/>
        </w:rPr>
        <w:t>执行中遇到问题，请径向园区经济发展局反映。</w:t>
      </w:r>
    </w:p>
    <w:p>
      <w:pPr>
        <w:pStyle w:val="BodyText"/>
        <w:spacing w:before="38"/>
        <w:ind w:left="772"/>
        <w:rPr>
          <w:rFonts w:ascii="楷体" w:eastAsia="楷体" w:hint="eastAsia"/>
        </w:rPr>
      </w:pPr>
      <w:r>
        <w:rPr/>
        <w:drawing>
          <wp:anchor distT="0" distB="0" distL="0" distR="0" allowOverlap="1" layoutInCell="1" locked="0" behindDoc="1" simplePos="0" relativeHeight="268428551">
            <wp:simplePos x="0" y="0"/>
            <wp:positionH relativeFrom="page">
              <wp:posOffset>3877055</wp:posOffset>
            </wp:positionH>
            <wp:positionV relativeFrom="paragraph">
              <wp:posOffset>314707</wp:posOffset>
            </wp:positionV>
            <wp:extent cx="1699260" cy="1694688"/>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699260" cy="1694688"/>
                    </a:xfrm>
                    <a:prstGeom prst="rect">
                      <a:avLst/>
                    </a:prstGeom>
                  </pic:spPr>
                </pic:pic>
              </a:graphicData>
            </a:graphic>
          </wp:anchor>
        </w:drawing>
      </w:r>
      <w:r>
        <w:rPr>
          <w:rFonts w:ascii="楷体" w:eastAsia="楷体" w:hint="eastAsia"/>
          <w:w w:val="95"/>
        </w:rPr>
        <w:t>特此通知。</w:t>
      </w:r>
    </w:p>
    <w:p>
      <w:pPr>
        <w:pStyle w:val="BodyText"/>
        <w:ind w:left="0"/>
        <w:rPr>
          <w:rFonts w:ascii="楷体"/>
        </w:rPr>
      </w:pPr>
    </w:p>
    <w:p>
      <w:pPr>
        <w:pStyle w:val="BodyText"/>
        <w:ind w:left="0"/>
        <w:rPr>
          <w:rFonts w:ascii="楷体"/>
        </w:rPr>
      </w:pPr>
    </w:p>
    <w:p>
      <w:pPr>
        <w:pStyle w:val="BodyText"/>
        <w:spacing w:before="9"/>
        <w:ind w:left="0"/>
        <w:rPr>
          <w:rFonts w:ascii="楷体"/>
          <w:sz w:val="36"/>
        </w:rPr>
      </w:pPr>
    </w:p>
    <w:p>
      <w:pPr>
        <w:pStyle w:val="BodyText"/>
        <w:spacing w:before="1"/>
        <w:ind w:left="4123" w:right="565"/>
        <w:jc w:val="center"/>
        <w:rPr>
          <w:rFonts w:ascii="楷体" w:eastAsia="楷体" w:hint="eastAsia"/>
        </w:rPr>
      </w:pPr>
      <w:r>
        <w:rPr>
          <w:rFonts w:ascii="楷体" w:eastAsia="楷体" w:hint="eastAsia"/>
          <w:w w:val="95"/>
        </w:rPr>
        <w:t>珠海市富山工业园管理委员会</w:t>
      </w:r>
    </w:p>
    <w:p>
      <w:pPr>
        <w:pStyle w:val="BodyText"/>
        <w:spacing w:before="159"/>
        <w:ind w:left="4099" w:right="565"/>
        <w:jc w:val="center"/>
        <w:rPr>
          <w:rFonts w:ascii="楷体" w:eastAsia="楷体" w:hint="eastAsia"/>
        </w:rPr>
      </w:pPr>
      <w:r>
        <w:rPr>
          <w:rFonts w:ascii="楷体" w:eastAsia="楷体" w:hint="eastAsia"/>
          <w:spacing w:val="-3"/>
        </w:rPr>
        <w:t>2019</w:t>
      </w:r>
      <w:r>
        <w:rPr>
          <w:rFonts w:ascii="楷体" w:eastAsia="楷体" w:hint="eastAsia"/>
          <w:spacing w:val="-60"/>
        </w:rPr>
        <w:t> 年 </w:t>
      </w:r>
      <w:r>
        <w:rPr>
          <w:rFonts w:ascii="楷体" w:eastAsia="楷体" w:hint="eastAsia"/>
        </w:rPr>
        <w:t>6</w:t>
      </w:r>
      <w:r>
        <w:rPr>
          <w:rFonts w:ascii="楷体" w:eastAsia="楷体" w:hint="eastAsia"/>
          <w:spacing w:val="-60"/>
        </w:rPr>
        <w:t> 月 </w:t>
      </w:r>
      <w:r>
        <w:rPr>
          <w:rFonts w:ascii="楷体" w:eastAsia="楷体" w:hint="eastAsia"/>
        </w:rPr>
        <w:t>12</w:t>
      </w:r>
      <w:r>
        <w:rPr>
          <w:rFonts w:ascii="楷体" w:eastAsia="楷体" w:hint="eastAsia"/>
          <w:spacing w:val="-45"/>
        </w:rPr>
        <w:t> 日</w:t>
      </w:r>
    </w:p>
    <w:p>
      <w:pPr>
        <w:spacing w:after="0"/>
        <w:jc w:val="center"/>
        <w:rPr>
          <w:rFonts w:ascii="楷体" w:eastAsia="楷体" w:hint="eastAsia"/>
        </w:rPr>
        <w:sectPr>
          <w:footerReference w:type="default" r:id="rId5"/>
          <w:footerReference w:type="even" r:id="rId6"/>
          <w:type w:val="continuous"/>
          <w:pgSz w:w="11910" w:h="16840"/>
          <w:pgMar w:footer="874" w:top="1580" w:bottom="1060" w:left="1380" w:right="1400"/>
          <w:pgNumType w:start="1"/>
        </w:sectPr>
      </w:pPr>
    </w:p>
    <w:p>
      <w:pPr>
        <w:pStyle w:val="BodyText"/>
        <w:ind w:left="0"/>
        <w:rPr>
          <w:rFonts w:ascii="楷体"/>
          <w:sz w:val="20"/>
        </w:rPr>
      </w:pPr>
    </w:p>
    <w:p>
      <w:pPr>
        <w:pStyle w:val="BodyText"/>
        <w:ind w:left="0"/>
        <w:rPr>
          <w:rFonts w:ascii="楷体"/>
          <w:sz w:val="20"/>
        </w:rPr>
      </w:pPr>
    </w:p>
    <w:p>
      <w:pPr>
        <w:pStyle w:val="BodyText"/>
        <w:ind w:left="0"/>
        <w:rPr>
          <w:rFonts w:ascii="楷体"/>
          <w:sz w:val="20"/>
        </w:rPr>
      </w:pPr>
    </w:p>
    <w:p>
      <w:pPr>
        <w:pStyle w:val="BodyText"/>
        <w:spacing w:before="6"/>
        <w:ind w:left="0"/>
        <w:rPr>
          <w:rFonts w:ascii="楷体"/>
          <w:sz w:val="15"/>
        </w:rPr>
      </w:pPr>
    </w:p>
    <w:p>
      <w:pPr>
        <w:pStyle w:val="Heading1"/>
        <w:spacing w:before="8"/>
        <w:ind w:left="2991" w:right="778"/>
      </w:pPr>
      <w:r>
        <w:rPr/>
        <w:t>珠海市富山工业园促进实体经济高质量</w:t>
      </w:r>
      <w:r>
        <w:rPr>
          <w:w w:val="95"/>
        </w:rPr>
        <w:t>发展的若干措施</w:t>
      </w:r>
    </w:p>
    <w:p>
      <w:pPr>
        <w:pStyle w:val="BodyText"/>
        <w:spacing w:before="3"/>
        <w:ind w:left="0"/>
        <w:rPr>
          <w:rFonts w:ascii="PMingLiU"/>
          <w:sz w:val="53"/>
        </w:rPr>
      </w:pPr>
    </w:p>
    <w:p>
      <w:pPr>
        <w:pStyle w:val="BodyText"/>
        <w:tabs>
          <w:tab w:pos="1917" w:val="left" w:leader="none"/>
        </w:tabs>
        <w:spacing w:before="1"/>
        <w:ind w:left="636"/>
        <w:jc w:val="center"/>
        <w:rPr>
          <w:rFonts w:ascii="黑体" w:eastAsia="黑体" w:hint="eastAsia"/>
        </w:rPr>
      </w:pPr>
      <w:r>
        <w:rPr>
          <w:rFonts w:ascii="黑体" w:eastAsia="黑体" w:hint="eastAsia"/>
        </w:rPr>
        <w:t>第一章</w:t>
        <w:tab/>
      </w:r>
      <w:r>
        <w:rPr>
          <w:rFonts w:ascii="黑体" w:eastAsia="黑体" w:hint="eastAsia"/>
          <w:w w:val="95"/>
        </w:rPr>
        <w:t>总则</w:t>
      </w:r>
    </w:p>
    <w:p>
      <w:pPr>
        <w:pStyle w:val="BodyText"/>
        <w:spacing w:line="331" w:lineRule="auto" w:before="162"/>
        <w:ind w:right="106" w:firstLine="640"/>
        <w:jc w:val="both"/>
      </w:pPr>
      <w:r>
        <w:rPr>
          <w:rFonts w:ascii="楷体" w:eastAsia="楷体" w:hint="eastAsia"/>
          <w:spacing w:val="-2"/>
        </w:rPr>
        <w:t>第一条 </w:t>
      </w:r>
      <w:r>
        <w:rPr>
          <w:spacing w:val="-11"/>
        </w:rPr>
        <w:t>为深入落实《国务院关于印发&lt;中国制造 </w:t>
      </w:r>
      <w:r>
        <w:rPr/>
        <w:t>2025&gt;的通</w:t>
      </w:r>
      <w:r>
        <w:rPr>
          <w:spacing w:val="-84"/>
        </w:rPr>
        <w:t>知》</w:t>
      </w:r>
      <w:r>
        <w:rPr/>
        <w:t>（</w:t>
      </w:r>
      <w:r>
        <w:rPr>
          <w:spacing w:val="-3"/>
        </w:rPr>
        <w:t>国发〔</w:t>
      </w:r>
      <w:r>
        <w:rPr/>
        <w:t>2015</w:t>
      </w:r>
      <w:r>
        <w:rPr>
          <w:spacing w:val="-8"/>
        </w:rPr>
        <w:t>〕</w:t>
      </w:r>
      <w:r>
        <w:rPr/>
        <w:t>28</w:t>
      </w:r>
      <w:r>
        <w:rPr>
          <w:spacing w:val="-45"/>
        </w:rPr>
        <w:t> 号</w:t>
      </w:r>
      <w:r>
        <w:rPr>
          <w:spacing w:val="-161"/>
        </w:rPr>
        <w:t>）</w:t>
      </w:r>
      <w:r>
        <w:rPr>
          <w:spacing w:val="-14"/>
        </w:rPr>
        <w:t>、《广东省降低制造业企业成本支持实</w:t>
      </w:r>
      <w:r>
        <w:rPr>
          <w:spacing w:val="-17"/>
        </w:rPr>
        <w:t>体经济发展若干政策措施</w:t>
      </w:r>
      <w:r>
        <w:rPr/>
        <w:t>（修订版</w:t>
      </w:r>
      <w:r>
        <w:rPr>
          <w:spacing w:val="-159"/>
        </w:rPr>
        <w:t>）</w:t>
      </w:r>
      <w:r>
        <w:rPr>
          <w:spacing w:val="-200"/>
        </w:rPr>
        <w:t>》</w:t>
      </w:r>
      <w:r>
        <w:rPr/>
        <w:t>（</w:t>
      </w:r>
      <w:r>
        <w:rPr>
          <w:spacing w:val="-12"/>
        </w:rPr>
        <w:t>粤府〔</w:t>
      </w:r>
      <w:r>
        <w:rPr/>
        <w:t>2018</w:t>
      </w:r>
      <w:r>
        <w:rPr>
          <w:spacing w:val="-38"/>
        </w:rPr>
        <w:t>〕</w:t>
      </w:r>
      <w:r>
        <w:rPr/>
        <w:t>79</w:t>
      </w:r>
      <w:r>
        <w:rPr>
          <w:spacing w:val="-46"/>
        </w:rPr>
        <w:t> 号</w:t>
      </w:r>
      <w:r>
        <w:rPr>
          <w:spacing w:val="-159"/>
        </w:rPr>
        <w:t>）</w:t>
      </w:r>
      <w:r>
        <w:rPr>
          <w:spacing w:val="-67"/>
        </w:rPr>
        <w:t>、《珠</w:t>
      </w:r>
      <w:r>
        <w:rPr>
          <w:spacing w:val="-69"/>
        </w:rPr>
        <w:t>海市降低制造业企业成本支持实体经济发展的若干政策措施</w:t>
      </w:r>
      <w:r>
        <w:rPr/>
        <w:t>（修</w:t>
      </w:r>
      <w:r>
        <w:rPr>
          <w:spacing w:val="5"/>
        </w:rPr>
        <w:t>订版</w:t>
      </w:r>
      <w:r>
        <w:rPr>
          <w:spacing w:val="-154"/>
        </w:rPr>
        <w:t>）</w:t>
      </w:r>
      <w:r>
        <w:rPr>
          <w:spacing w:val="-156"/>
        </w:rPr>
        <w:t>》</w:t>
      </w:r>
      <w:r>
        <w:rPr>
          <w:spacing w:val="5"/>
        </w:rPr>
        <w:t>（</w:t>
      </w:r>
      <w:r>
        <w:rPr>
          <w:spacing w:val="3"/>
        </w:rPr>
        <w:t>珠府〔</w:t>
      </w:r>
      <w:r>
        <w:rPr/>
        <w:t>2018</w:t>
      </w:r>
      <w:r>
        <w:rPr>
          <w:spacing w:val="5"/>
        </w:rPr>
        <w:t>〕</w:t>
      </w:r>
      <w:r>
        <w:rPr/>
        <w:t>86</w:t>
      </w:r>
      <w:r>
        <w:rPr>
          <w:spacing w:val="-40"/>
        </w:rPr>
        <w:t> 号</w:t>
      </w:r>
      <w:r>
        <w:rPr>
          <w:spacing w:val="5"/>
        </w:rPr>
        <w:t>）</w:t>
      </w:r>
      <w:r>
        <w:rPr>
          <w:spacing w:val="2"/>
        </w:rPr>
        <w:t>等文件精神，加快打造实体经济</w:t>
      </w:r>
      <w:r>
        <w:rPr>
          <w:spacing w:val="2"/>
          <w:w w:val="95"/>
        </w:rPr>
        <w:t>和工业发展重大平台，结合富山工业园实际，制定本措施。</w:t>
      </w:r>
    </w:p>
    <w:p>
      <w:pPr>
        <w:pStyle w:val="BodyText"/>
        <w:spacing w:line="331" w:lineRule="auto" w:before="37"/>
        <w:ind w:right="101" w:firstLine="640"/>
        <w:jc w:val="both"/>
      </w:pPr>
      <w:r>
        <w:rPr>
          <w:rFonts w:ascii="楷体" w:hAnsi="楷体" w:eastAsia="楷体" w:hint="eastAsia"/>
          <w:spacing w:val="2"/>
        </w:rPr>
        <w:t>第二条 </w:t>
      </w:r>
      <w:r>
        <w:rPr/>
        <w:t>本措施适用于工商注册地、税务征管关系及统计关</w:t>
      </w:r>
      <w:r>
        <w:rPr>
          <w:w w:val="99"/>
        </w:rPr>
        <w:t>系在富山工业园</w:t>
      </w:r>
      <w:r>
        <w:rPr>
          <w:spacing w:val="1"/>
          <w:w w:val="99"/>
        </w:rPr>
        <w:t>（</w:t>
      </w:r>
      <w:r>
        <w:rPr>
          <w:spacing w:val="-20"/>
          <w:w w:val="99"/>
        </w:rPr>
        <w:t>以下简称“园区”</w:t>
      </w:r>
      <w:r>
        <w:rPr>
          <w:spacing w:val="1"/>
          <w:w w:val="99"/>
        </w:rPr>
        <w:t>）</w:t>
      </w:r>
      <w:r>
        <w:rPr>
          <w:w w:val="99"/>
        </w:rPr>
        <w:t>范围内，有健全的财务制</w:t>
      </w:r>
      <w:r>
        <w:rPr>
          <w:spacing w:val="-12"/>
        </w:rPr>
        <w:t>度、具有独立法人资格、实行独立核算的企业或单位。对不具有</w:t>
      </w:r>
      <w:r>
        <w:rPr>
          <w:spacing w:val="5"/>
        </w:rPr>
        <w:t>独立法人资格，但在园区销售或结算并经园区认定的总部型企</w:t>
      </w:r>
      <w:r>
        <w:rPr>
          <w:spacing w:val="1"/>
          <w:w w:val="95"/>
        </w:rPr>
        <w:t>业，可参照执行。</w:t>
      </w:r>
    </w:p>
    <w:p>
      <w:pPr>
        <w:pStyle w:val="BodyText"/>
        <w:tabs>
          <w:tab w:pos="4531" w:val="left" w:leader="none"/>
        </w:tabs>
        <w:spacing w:before="37"/>
        <w:ind w:left="3252"/>
        <w:rPr>
          <w:rFonts w:ascii="黑体" w:eastAsia="黑体" w:hint="eastAsia"/>
        </w:rPr>
      </w:pPr>
      <w:r>
        <w:rPr>
          <w:rFonts w:ascii="黑体" w:eastAsia="黑体" w:hint="eastAsia"/>
        </w:rPr>
        <w:t>第二章</w:t>
        <w:tab/>
      </w:r>
      <w:r>
        <w:rPr>
          <w:rFonts w:ascii="黑体" w:eastAsia="黑体" w:hint="eastAsia"/>
          <w:w w:val="95"/>
        </w:rPr>
        <w:t>鼓励科技创新</w:t>
      </w:r>
    </w:p>
    <w:p>
      <w:pPr>
        <w:pStyle w:val="BodyText"/>
        <w:spacing w:line="331" w:lineRule="auto" w:before="161"/>
        <w:ind w:right="101" w:firstLine="640"/>
        <w:jc w:val="both"/>
      </w:pPr>
      <w:r>
        <w:rPr>
          <w:rFonts w:ascii="楷体" w:eastAsia="楷体" w:hint="eastAsia"/>
          <w:spacing w:val="2"/>
        </w:rPr>
        <w:t>第三条 </w:t>
      </w:r>
      <w:r>
        <w:rPr/>
        <w:t>鼓励认定高新技术企业。对当年通过认定的高新技</w:t>
      </w:r>
      <w:r>
        <w:rPr>
          <w:spacing w:val="-13"/>
        </w:rPr>
        <w:t>术企业给予 </w:t>
      </w:r>
      <w:r>
        <w:rPr/>
        <w:t>30</w:t>
      </w:r>
      <w:r>
        <w:rPr>
          <w:spacing w:val="-8"/>
        </w:rPr>
        <w:t> 万元资助，对认定后迁入园区但未获其他区补助</w:t>
      </w:r>
      <w:r>
        <w:rPr>
          <w:spacing w:val="-14"/>
          <w:w w:val="95"/>
        </w:rPr>
        <w:t>的高新技术企业，可参照奖励。对纳入全市综合创新能力排名前</w:t>
      </w:r>
    </w:p>
    <w:p>
      <w:pPr>
        <w:pStyle w:val="BodyText"/>
        <w:spacing w:line="333" w:lineRule="auto" w:before="37"/>
      </w:pPr>
      <w:r>
        <w:rPr/>
        <w:t>50</w:t>
      </w:r>
      <w:r>
        <w:rPr>
          <w:spacing w:val="-13"/>
        </w:rPr>
        <w:t> 名、税收贡献排名前 </w:t>
      </w:r>
      <w:r>
        <w:rPr/>
        <w:t>50</w:t>
      </w:r>
      <w:r>
        <w:rPr>
          <w:spacing w:val="-15"/>
        </w:rPr>
        <w:t> 名或成长性排名前 </w:t>
      </w:r>
      <w:r>
        <w:rPr/>
        <w:t>50</w:t>
      </w:r>
      <w:r>
        <w:rPr>
          <w:spacing w:val="-9"/>
        </w:rPr>
        <w:t> 名的高新技术</w:t>
      </w:r>
      <w:r>
        <w:rPr>
          <w:spacing w:val="-34"/>
        </w:rPr>
        <w:t>企业，另行资助 </w:t>
      </w:r>
      <w:r>
        <w:rPr/>
        <w:t>10</w:t>
      </w:r>
      <w:r>
        <w:rPr>
          <w:spacing w:val="-36"/>
        </w:rPr>
        <w:t> 万元。企业每认定 </w:t>
      </w:r>
      <w:r>
        <w:rPr/>
        <w:t>1</w:t>
      </w:r>
      <w:r>
        <w:rPr>
          <w:spacing w:val="-19"/>
        </w:rPr>
        <w:t> 件高新技术产品给予 </w:t>
      </w:r>
      <w:r>
        <w:rPr/>
        <w:t>2000</w:t>
      </w:r>
    </w:p>
    <w:p>
      <w:pPr>
        <w:spacing w:after="0" w:line="333" w:lineRule="auto"/>
        <w:sectPr>
          <w:pgSz w:w="11910" w:h="16840"/>
          <w:pgMar w:header="0" w:footer="874" w:top="1580" w:bottom="1060" w:left="1420" w:right="1420"/>
        </w:sectPr>
      </w:pPr>
    </w:p>
    <w:p>
      <w:pPr>
        <w:pStyle w:val="BodyText"/>
        <w:ind w:left="0"/>
        <w:rPr>
          <w:sz w:val="20"/>
        </w:rPr>
      </w:pPr>
    </w:p>
    <w:p>
      <w:pPr>
        <w:pStyle w:val="BodyText"/>
        <w:spacing w:before="7"/>
        <w:ind w:left="0"/>
        <w:rPr>
          <w:sz w:val="20"/>
        </w:rPr>
      </w:pPr>
    </w:p>
    <w:p>
      <w:pPr>
        <w:pStyle w:val="BodyText"/>
        <w:spacing w:before="1"/>
        <w:jc w:val="both"/>
      </w:pPr>
      <w:r>
        <w:rPr/>
        <w:t>元资助，单个企业年资助金额最高 1 万元。</w:t>
      </w:r>
    </w:p>
    <w:p>
      <w:pPr>
        <w:pStyle w:val="BodyText"/>
        <w:spacing w:line="331" w:lineRule="auto" w:before="162"/>
        <w:ind w:right="268" w:firstLine="640"/>
        <w:jc w:val="both"/>
      </w:pPr>
      <w:r>
        <w:rPr>
          <w:rFonts w:ascii="楷体" w:eastAsia="楷体" w:hint="eastAsia"/>
        </w:rPr>
        <w:t>第四条 </w:t>
      </w:r>
      <w:r>
        <w:rPr/>
        <w:t>鼓励企业加大研究投入。每年园区财政安排一定额</w:t>
      </w:r>
      <w:r>
        <w:rPr>
          <w:w w:val="95"/>
        </w:rPr>
        <w:t>度的研发费专项补助资金，对年度研发费用税前加计扣除额超过</w:t>
      </w:r>
    </w:p>
    <w:p>
      <w:pPr>
        <w:pStyle w:val="BodyText"/>
        <w:spacing w:line="331" w:lineRule="auto" w:before="38"/>
        <w:ind w:right="271"/>
        <w:jc w:val="both"/>
      </w:pPr>
      <w:r>
        <w:rPr/>
        <w:t>20</w:t>
      </w:r>
      <w:r>
        <w:rPr>
          <w:spacing w:val="-19"/>
        </w:rPr>
        <w:t> 万元，按占比</w:t>
      </w:r>
      <w:r>
        <w:rPr/>
        <w:t>（申报企业年度研发费用税前加计扣除额/符合条件企业年度研发费用税前加计扣除总额</w:t>
      </w:r>
      <w:r>
        <w:rPr>
          <w:spacing w:val="-116"/>
        </w:rPr>
        <w:t>）</w:t>
      </w:r>
      <w:r>
        <w:rPr/>
        <w:t>给予一定额度的资金</w:t>
      </w:r>
      <w:r>
        <w:rPr>
          <w:spacing w:val="-6"/>
        </w:rPr>
        <w:t>补助，单个企业年度补助额最高 </w:t>
      </w:r>
      <w:r>
        <w:rPr/>
        <w:t>100</w:t>
      </w:r>
      <w:r>
        <w:rPr>
          <w:spacing w:val="-21"/>
        </w:rPr>
        <w:t> 万元。</w:t>
      </w:r>
    </w:p>
    <w:p>
      <w:pPr>
        <w:pStyle w:val="BodyText"/>
        <w:spacing w:line="331" w:lineRule="auto" w:before="38"/>
        <w:ind w:right="263" w:firstLine="640"/>
        <w:jc w:val="both"/>
      </w:pPr>
      <w:r>
        <w:rPr>
          <w:rFonts w:ascii="楷体" w:eastAsia="楷体" w:hint="eastAsia"/>
        </w:rPr>
        <w:t>第五条 </w:t>
      </w:r>
      <w:r>
        <w:rPr/>
        <w:t>鼓励企业申请发明专利。对园区企业获得授权的国内发明专利每件最高奖补0.7万元；获得授权的美国、日本、欧洲国家或欧盟发明专利每件奖补3万元；获得授权的其他国家发明专利每件奖补2万元。原则上，每个企业每年度获得的奖补总</w:t>
      </w:r>
      <w:r>
        <w:rPr>
          <w:w w:val="95"/>
        </w:rPr>
        <w:t>额最高500万元。</w:t>
      </w:r>
    </w:p>
    <w:p>
      <w:pPr>
        <w:pStyle w:val="BodyText"/>
        <w:spacing w:line="331" w:lineRule="auto" w:before="38"/>
        <w:ind w:right="268" w:firstLine="640"/>
        <w:jc w:val="both"/>
      </w:pPr>
      <w:r>
        <w:rPr>
          <w:rFonts w:ascii="楷体" w:eastAsia="楷体" w:hint="eastAsia"/>
          <w:spacing w:val="1"/>
        </w:rPr>
        <w:t>第六条 </w:t>
      </w:r>
      <w:r>
        <w:rPr>
          <w:spacing w:val="-1"/>
        </w:rPr>
        <w:t>鼓励企业开展知识产权贯标。对获得《企业知识产</w:t>
      </w:r>
      <w:r>
        <w:rPr>
          <w:spacing w:val="-30"/>
        </w:rPr>
        <w:t>权管理规范》</w:t>
      </w:r>
      <w:r>
        <w:rPr/>
        <w:t>（</w:t>
      </w:r>
      <w:r>
        <w:rPr>
          <w:spacing w:val="-20"/>
        </w:rPr>
        <w:t>国家标准 </w:t>
      </w:r>
      <w:r>
        <w:rPr/>
        <w:t>GB/T29490-2013）</w:t>
      </w:r>
      <w:r>
        <w:rPr>
          <w:spacing w:val="-2"/>
        </w:rPr>
        <w:t>认证的园区企业，且</w:t>
      </w:r>
      <w:r>
        <w:rPr/>
        <w:t>在认证通过年度内发明专利申请达3件及以上的，给予10万元奖</w:t>
      </w:r>
      <w:r>
        <w:rPr>
          <w:w w:val="95"/>
        </w:rPr>
        <w:t>励。</w:t>
      </w:r>
    </w:p>
    <w:p>
      <w:pPr>
        <w:pStyle w:val="BodyText"/>
        <w:spacing w:line="331" w:lineRule="auto" w:before="38"/>
        <w:ind w:right="261" w:firstLine="640"/>
        <w:jc w:val="both"/>
      </w:pPr>
      <w:r>
        <w:rPr>
          <w:rFonts w:ascii="楷体" w:eastAsia="楷体" w:hint="eastAsia"/>
          <w:spacing w:val="2"/>
        </w:rPr>
        <w:t>第七条 </w:t>
      </w:r>
      <w:r>
        <w:rPr/>
        <w:t>鼓励企业认定优势、示范企业。经国家、省和市知</w:t>
      </w:r>
      <w:r>
        <w:rPr>
          <w:spacing w:val="-7"/>
        </w:rPr>
        <w:t>识产权部门新认定的知识产权优势、示范企业，分别给予最高</w:t>
      </w:r>
      <w:r>
        <w:rPr/>
        <w:t>50 </w:t>
      </w:r>
      <w:r>
        <w:rPr>
          <w:w w:val="95"/>
        </w:rPr>
        <w:t>万元、30万元、10万元奖励。</w:t>
      </w:r>
    </w:p>
    <w:p>
      <w:pPr>
        <w:pStyle w:val="BodyText"/>
        <w:spacing w:line="331" w:lineRule="auto" w:before="38"/>
        <w:ind w:right="140" w:firstLine="640"/>
      </w:pPr>
      <w:r>
        <w:rPr>
          <w:rFonts w:ascii="楷体" w:eastAsia="楷体" w:hint="eastAsia"/>
          <w:spacing w:val="0"/>
        </w:rPr>
        <w:t>第八条 </w:t>
      </w:r>
      <w:r>
        <w:rPr>
          <w:spacing w:val="-1"/>
        </w:rPr>
        <w:t>鼓励企业申报专利奖。对第一完成者为园区的企事</w:t>
      </w:r>
      <w:r>
        <w:rPr>
          <w:spacing w:val="-18"/>
        </w:rPr>
        <w:t>业单位，在园区实施的专利项目，获中国专利奖或广东专利奖的， </w:t>
      </w:r>
      <w:r>
        <w:rPr>
          <w:spacing w:val="-18"/>
          <w:w w:val="95"/>
        </w:rPr>
        <w:t>按省政府授予奖金的60％给予配套奖励。</w:t>
      </w:r>
    </w:p>
    <w:p>
      <w:pPr>
        <w:pStyle w:val="BodyText"/>
        <w:spacing w:before="40"/>
        <w:ind w:left="749"/>
      </w:pPr>
      <w:r>
        <w:rPr>
          <w:rFonts w:ascii="楷体" w:eastAsia="楷体" w:hint="eastAsia"/>
        </w:rPr>
        <w:t>第九条 </w:t>
      </w:r>
      <w:r>
        <w:rPr/>
        <w:t>鼓励企业进行专利投保。对在园区注册企事业单位，</w:t>
      </w:r>
    </w:p>
    <w:p>
      <w:pPr>
        <w:spacing w:after="0"/>
        <w:sectPr>
          <w:pgSz w:w="11910" w:h="16840"/>
          <w:pgMar w:header="0" w:footer="874" w:top="1580" w:bottom="1060" w:left="1420" w:right="1260"/>
        </w:sectPr>
      </w:pPr>
    </w:p>
    <w:p>
      <w:pPr>
        <w:pStyle w:val="BodyText"/>
        <w:ind w:left="0"/>
        <w:rPr>
          <w:sz w:val="20"/>
        </w:rPr>
      </w:pPr>
    </w:p>
    <w:p>
      <w:pPr>
        <w:pStyle w:val="BodyText"/>
        <w:spacing w:before="7"/>
        <w:ind w:left="0"/>
        <w:rPr>
          <w:sz w:val="20"/>
        </w:rPr>
      </w:pPr>
    </w:p>
    <w:p>
      <w:pPr>
        <w:pStyle w:val="BodyText"/>
        <w:spacing w:line="333" w:lineRule="auto" w:before="1"/>
        <w:ind w:right="140"/>
      </w:pPr>
      <w:r>
        <w:rPr/>
        <w:t>购买了专利执行险等专利相关保险的，按保费50%补贴，本项经</w:t>
      </w:r>
      <w:r>
        <w:rPr>
          <w:w w:val="95"/>
        </w:rPr>
        <w:t>费最高500万元。</w:t>
      </w:r>
    </w:p>
    <w:p>
      <w:pPr>
        <w:pStyle w:val="BodyText"/>
        <w:spacing w:line="331" w:lineRule="auto" w:before="34"/>
        <w:ind w:right="263" w:firstLine="640"/>
        <w:jc w:val="both"/>
      </w:pPr>
      <w:r>
        <w:rPr>
          <w:rFonts w:ascii="楷体" w:eastAsia="楷体" w:hint="eastAsia"/>
          <w:spacing w:val="1"/>
        </w:rPr>
        <w:t>第十条 </w:t>
      </w:r>
      <w:r>
        <w:rPr>
          <w:spacing w:val="-1"/>
        </w:rPr>
        <w:t>鼓励建设创新平台。对获得国家级或省级重点实验</w:t>
      </w:r>
      <w:r>
        <w:rPr>
          <w:spacing w:val="-12"/>
        </w:rPr>
        <w:t>室称号的企业或单位，按国家级最高 </w:t>
      </w:r>
      <w:r>
        <w:rPr/>
        <w:t>500</w:t>
      </w:r>
      <w:r>
        <w:rPr>
          <w:spacing w:val="-27"/>
        </w:rPr>
        <w:t> 万元、省级最高 </w:t>
      </w:r>
      <w:r>
        <w:rPr/>
        <w:t>200</w:t>
      </w:r>
      <w:r>
        <w:rPr>
          <w:spacing w:val="-42"/>
        </w:rPr>
        <w:t> 万</w:t>
      </w:r>
      <w:r>
        <w:rPr>
          <w:spacing w:val="-22"/>
        </w:rPr>
        <w:t>元给予资金奖励。对获得国家、省级或市级技术中心和工程中心</w:t>
      </w:r>
      <w:r>
        <w:rPr>
          <w:spacing w:val="-11"/>
        </w:rPr>
        <w:t>的企业或单位，按国家级最高 </w:t>
      </w:r>
      <w:r>
        <w:rPr/>
        <w:t>200</w:t>
      </w:r>
      <w:r>
        <w:rPr>
          <w:spacing w:val="-19"/>
        </w:rPr>
        <w:t> 万元、省级最高 </w:t>
      </w:r>
      <w:r>
        <w:rPr/>
        <w:t>60</w:t>
      </w:r>
      <w:r>
        <w:rPr>
          <w:spacing w:val="-16"/>
        </w:rPr>
        <w:t> 万元、市</w:t>
      </w:r>
      <w:r>
        <w:rPr>
          <w:spacing w:val="-30"/>
        </w:rPr>
        <w:t>级最高 </w:t>
      </w:r>
      <w:r>
        <w:rPr/>
        <w:t>30</w:t>
      </w:r>
      <w:r>
        <w:rPr>
          <w:spacing w:val="-8"/>
        </w:rPr>
        <w:t> 万元给予资金奖励，补助额度不重复，前一等级已有</w:t>
      </w:r>
      <w:r>
        <w:rPr>
          <w:spacing w:val="-8"/>
          <w:w w:val="95"/>
        </w:rPr>
        <w:t>资助的将相应扣除。</w:t>
      </w:r>
    </w:p>
    <w:p>
      <w:pPr>
        <w:pStyle w:val="BodyText"/>
        <w:spacing w:line="331" w:lineRule="auto" w:before="37"/>
        <w:ind w:right="268" w:firstLine="640"/>
        <w:jc w:val="both"/>
      </w:pPr>
      <w:r>
        <w:rPr>
          <w:rFonts w:ascii="楷体" w:eastAsia="楷体" w:hint="eastAsia"/>
          <w:spacing w:val="0"/>
        </w:rPr>
        <w:t>第十一条 </w:t>
      </w:r>
      <w:r>
        <w:rPr/>
        <w:t>鼓励申报新型研发机构。对首次认定为省级和市</w:t>
      </w:r>
      <w:r>
        <w:rPr>
          <w:spacing w:val="-13"/>
        </w:rPr>
        <w:t>级新型研发机构的企事业单位，分别给予 </w:t>
      </w:r>
      <w:r>
        <w:rPr/>
        <w:t>150</w:t>
      </w:r>
      <w:r>
        <w:rPr>
          <w:spacing w:val="-34"/>
        </w:rPr>
        <w:t> 万元和 </w:t>
      </w:r>
      <w:r>
        <w:rPr/>
        <w:t>100</w:t>
      </w:r>
      <w:r>
        <w:rPr>
          <w:spacing w:val="-21"/>
        </w:rPr>
        <w:t> 万元资</w:t>
      </w:r>
      <w:r>
        <w:rPr>
          <w:spacing w:val="-21"/>
          <w:w w:val="95"/>
        </w:rPr>
        <w:t>金奖励，奖励额度不重复，前一等级已有资助的将相应扣除。</w:t>
      </w:r>
    </w:p>
    <w:p>
      <w:pPr>
        <w:pStyle w:val="BodyText"/>
        <w:spacing w:line="331" w:lineRule="auto" w:before="37"/>
        <w:ind w:right="268" w:firstLine="640"/>
        <w:jc w:val="both"/>
      </w:pPr>
      <w:r>
        <w:rPr>
          <w:rFonts w:ascii="楷体" w:eastAsia="楷体" w:hint="eastAsia"/>
          <w:spacing w:val="0"/>
        </w:rPr>
        <w:t>第十二条 </w:t>
      </w:r>
      <w:r>
        <w:rPr/>
        <w:t>鼓励建设科技孵化器。新认定为国家级、省级和市级孵化器（含加速器）</w:t>
      </w:r>
      <w:r>
        <w:rPr>
          <w:spacing w:val="-8"/>
        </w:rPr>
        <w:t>的企业，分别给予最高 </w:t>
      </w:r>
      <w:r>
        <w:rPr/>
        <w:t>200</w:t>
      </w:r>
      <w:r>
        <w:rPr>
          <w:spacing w:val="-22"/>
        </w:rPr>
        <w:t> 万元、</w:t>
      </w:r>
      <w:r>
        <w:rPr/>
        <w:t>150 </w:t>
      </w:r>
      <w:r>
        <w:rPr>
          <w:spacing w:val="-21"/>
        </w:rPr>
        <w:t>万元和 </w:t>
      </w:r>
      <w:r>
        <w:rPr/>
        <w:t>100</w:t>
      </w:r>
      <w:r>
        <w:rPr>
          <w:spacing w:val="-16"/>
        </w:rPr>
        <w:t> 万元的一次性奖励，奖励额度不重复，前一等级已有</w:t>
      </w:r>
      <w:r>
        <w:rPr>
          <w:spacing w:val="-16"/>
          <w:w w:val="95"/>
        </w:rPr>
        <w:t>资助的将相应扣除。</w:t>
      </w:r>
    </w:p>
    <w:p>
      <w:pPr>
        <w:pStyle w:val="BodyText"/>
        <w:spacing w:line="331" w:lineRule="auto" w:before="37"/>
        <w:ind w:right="110" w:firstLine="640"/>
        <w:jc w:val="both"/>
      </w:pPr>
      <w:r>
        <w:rPr>
          <w:rFonts w:ascii="楷体" w:eastAsia="楷体" w:hint="eastAsia"/>
          <w:spacing w:val="0"/>
        </w:rPr>
        <w:t>第十三条 </w:t>
      </w:r>
      <w:r>
        <w:rPr/>
        <w:t>鼓励申报众创空间。对获得国家、省、市认定的</w:t>
      </w:r>
      <w:r>
        <w:rPr>
          <w:spacing w:val="-6"/>
        </w:rPr>
        <w:t>众创空间的企业，分别给予最高 </w:t>
      </w:r>
      <w:r>
        <w:rPr/>
        <w:t>100</w:t>
      </w:r>
      <w:r>
        <w:rPr>
          <w:spacing w:val="-20"/>
        </w:rPr>
        <w:t> 万元、</w:t>
      </w:r>
      <w:r>
        <w:rPr/>
        <w:t>50</w:t>
      </w:r>
      <w:r>
        <w:rPr>
          <w:spacing w:val="-20"/>
        </w:rPr>
        <w:t> 万元、</w:t>
      </w:r>
      <w:r>
        <w:rPr/>
        <w:t>30</w:t>
      </w:r>
      <w:r>
        <w:rPr>
          <w:spacing w:val="-20"/>
        </w:rPr>
        <w:t> 万元的</w:t>
      </w:r>
      <w:r>
        <w:rPr>
          <w:spacing w:val="-21"/>
          <w:w w:val="95"/>
        </w:rPr>
        <w:t>一次性奖励，补助额度不重复，前一等级已有资助的将相应扣除。</w:t>
      </w:r>
    </w:p>
    <w:p>
      <w:pPr>
        <w:pStyle w:val="BodyText"/>
        <w:spacing w:line="331" w:lineRule="auto" w:before="37"/>
        <w:ind w:right="110" w:firstLine="640"/>
        <w:jc w:val="both"/>
      </w:pPr>
      <w:r>
        <w:rPr>
          <w:rFonts w:ascii="楷体" w:eastAsia="楷体" w:hint="eastAsia"/>
        </w:rPr>
        <w:t>第十四条 </w:t>
      </w:r>
      <w:r>
        <w:rPr/>
        <w:t>鼓励开展产学研合作项目，项目实行先备案、验</w:t>
      </w:r>
      <w:r>
        <w:rPr>
          <w:spacing w:val="-11"/>
        </w:rPr>
        <w:t>收，后资助。项目周期一般不超过两年。同一企业每年只资助一</w:t>
      </w:r>
      <w:r>
        <w:rPr>
          <w:spacing w:val="-13"/>
        </w:rPr>
        <w:t>个项目，最高</w:t>
      </w:r>
      <w:r>
        <w:rPr/>
        <w:t>50</w:t>
      </w:r>
      <w:r>
        <w:rPr>
          <w:spacing w:val="-8"/>
        </w:rPr>
        <w:t>万元。扶持企业与军工单位开展研发合作，对承</w:t>
      </w:r>
      <w:r>
        <w:rPr>
          <w:spacing w:val="-14"/>
          <w:w w:val="95"/>
        </w:rPr>
        <w:t>担军工科研项目的企业，按照项目合同金额给予最高</w:t>
      </w:r>
      <w:r>
        <w:rPr>
          <w:w w:val="95"/>
        </w:rPr>
        <w:t>10%的资助，</w:t>
      </w:r>
    </w:p>
    <w:p>
      <w:pPr>
        <w:spacing w:after="0" w:line="331" w:lineRule="auto"/>
        <w:jc w:val="both"/>
        <w:sectPr>
          <w:pgSz w:w="11910" w:h="16840"/>
          <w:pgMar w:header="0" w:footer="874" w:top="1580" w:bottom="1060" w:left="1420" w:right="1260"/>
        </w:sectPr>
      </w:pPr>
    </w:p>
    <w:p>
      <w:pPr>
        <w:pStyle w:val="BodyText"/>
        <w:ind w:left="0"/>
        <w:rPr>
          <w:sz w:val="20"/>
        </w:rPr>
      </w:pPr>
    </w:p>
    <w:p>
      <w:pPr>
        <w:pStyle w:val="BodyText"/>
        <w:spacing w:before="7"/>
        <w:ind w:left="0"/>
        <w:rPr>
          <w:sz w:val="20"/>
        </w:rPr>
      </w:pPr>
    </w:p>
    <w:p>
      <w:pPr>
        <w:pStyle w:val="BodyText"/>
        <w:spacing w:before="1"/>
        <w:jc w:val="both"/>
      </w:pPr>
      <w:r>
        <w:rPr>
          <w:w w:val="95"/>
        </w:rPr>
        <w:t>最高资助500万元。</w:t>
      </w:r>
    </w:p>
    <w:p>
      <w:pPr>
        <w:pStyle w:val="BodyText"/>
        <w:spacing w:line="331" w:lineRule="auto" w:before="162"/>
        <w:ind w:right="103" w:firstLine="640"/>
        <w:jc w:val="both"/>
      </w:pPr>
      <w:r>
        <w:rPr>
          <w:rFonts w:ascii="楷体" w:eastAsia="楷体" w:hint="eastAsia"/>
        </w:rPr>
        <w:t>第十五条 </w:t>
      </w:r>
      <w:r>
        <w:rPr/>
        <w:t>鼓励企业申报科学技术奖。对获得国家、省科学技术奖的企业，为项目第一完成者的，按省级奖金以1:1配套奖励，最高奖励资助200万元；为项目合作完成的，按省级奖金以</w:t>
      </w:r>
    </w:p>
    <w:p>
      <w:pPr>
        <w:pStyle w:val="BodyText"/>
        <w:spacing w:before="38"/>
        <w:jc w:val="both"/>
      </w:pPr>
      <w:r>
        <w:rPr>
          <w:w w:val="95"/>
        </w:rPr>
        <w:t>1:0.6配套奖励，最高资助额100万元。</w:t>
      </w:r>
    </w:p>
    <w:p>
      <w:pPr>
        <w:pStyle w:val="BodyText"/>
        <w:spacing w:line="331" w:lineRule="auto" w:before="162"/>
        <w:ind w:right="108" w:firstLine="640"/>
        <w:jc w:val="both"/>
      </w:pPr>
      <w:r>
        <w:rPr>
          <w:rFonts w:ascii="楷体" w:eastAsia="楷体" w:hint="eastAsia"/>
          <w:spacing w:val="0"/>
        </w:rPr>
        <w:t>第十六条 </w:t>
      </w:r>
      <w:r>
        <w:rPr/>
        <w:t>鼓励企业申报质量奖。对首次获得中国质量奖或</w:t>
      </w:r>
      <w:r>
        <w:rPr>
          <w:spacing w:val="-11"/>
        </w:rPr>
        <w:t>全国质量奖、中国质量奖提名奖或广东省政府质量奖、珠海市市</w:t>
      </w:r>
      <w:r>
        <w:rPr>
          <w:spacing w:val="-4"/>
        </w:rPr>
        <w:t>长质量奖的企业，最高分别给予一次性</w:t>
      </w:r>
      <w:r>
        <w:rPr/>
        <w:t>300万元、200万元、100 </w:t>
      </w:r>
      <w:r>
        <w:rPr>
          <w:w w:val="95"/>
        </w:rPr>
        <w:t>万元配套奖励。</w:t>
      </w:r>
    </w:p>
    <w:p>
      <w:pPr>
        <w:pStyle w:val="BodyText"/>
        <w:spacing w:line="331" w:lineRule="auto" w:before="40"/>
        <w:ind w:right="108" w:firstLine="640"/>
        <w:jc w:val="both"/>
      </w:pPr>
      <w:r>
        <w:rPr>
          <w:rFonts w:ascii="楷体" w:eastAsia="楷体" w:hint="eastAsia"/>
        </w:rPr>
        <w:t>第十七条 </w:t>
      </w:r>
      <w:r>
        <w:rPr/>
        <w:t>支持企业申报重大科技专项。对获得国家或省科技部门重大科技专项支持的项目，园区按市级奖金给予最高1:1 配套奖励,但总额不超过1000万元，上级有明确要求的，报市政</w:t>
      </w:r>
      <w:r>
        <w:rPr>
          <w:w w:val="95"/>
        </w:rPr>
        <w:t>府同意后另自执行。</w:t>
      </w:r>
    </w:p>
    <w:p>
      <w:pPr>
        <w:pStyle w:val="BodyText"/>
        <w:tabs>
          <w:tab w:pos="3411" w:val="left" w:leader="none"/>
        </w:tabs>
        <w:spacing w:before="39"/>
        <w:ind w:left="2132"/>
        <w:rPr>
          <w:rFonts w:ascii="黑体" w:eastAsia="黑体" w:hint="eastAsia"/>
        </w:rPr>
      </w:pPr>
      <w:r>
        <w:rPr>
          <w:rFonts w:ascii="黑体" w:eastAsia="黑体" w:hint="eastAsia"/>
        </w:rPr>
        <w:t>第三章</w:t>
        <w:tab/>
      </w:r>
      <w:r>
        <w:rPr>
          <w:rFonts w:ascii="黑体" w:eastAsia="黑体" w:hint="eastAsia"/>
          <w:w w:val="95"/>
        </w:rPr>
        <w:t>鼓励企业落户园区和加快建设</w:t>
      </w:r>
    </w:p>
    <w:p>
      <w:pPr>
        <w:pStyle w:val="BodyText"/>
        <w:spacing w:line="331" w:lineRule="auto" w:before="159"/>
        <w:ind w:right="101" w:firstLine="640"/>
        <w:jc w:val="both"/>
      </w:pPr>
      <w:r>
        <w:rPr>
          <w:rFonts w:ascii="楷体" w:eastAsia="楷体" w:hint="eastAsia"/>
          <w:spacing w:val="1"/>
        </w:rPr>
        <w:t>第十八条 </w:t>
      </w:r>
      <w:r>
        <w:rPr/>
        <w:t>鼓励企业落户园区。对新引进实体经济项目，承</w:t>
      </w:r>
      <w:r>
        <w:rPr>
          <w:spacing w:val="-36"/>
        </w:rPr>
        <w:t>诺 </w:t>
      </w:r>
      <w:r>
        <w:rPr/>
        <w:t>10</w:t>
      </w:r>
      <w:r>
        <w:rPr>
          <w:spacing w:val="-8"/>
        </w:rPr>
        <w:t> 年不离开富山工业园，并依法履行税务，按实缴注册资本</w:t>
      </w:r>
    </w:p>
    <w:p>
      <w:pPr>
        <w:pStyle w:val="BodyText"/>
        <w:spacing w:line="331" w:lineRule="auto" w:before="38"/>
        <w:ind w:right="110"/>
        <w:jc w:val="both"/>
      </w:pPr>
      <w:r>
        <w:rPr/>
        <w:t>（</w:t>
      </w:r>
      <w:r>
        <w:rPr>
          <w:spacing w:val="-9"/>
        </w:rPr>
        <w:t>仅限货币出资)给予奖励，每</w:t>
      </w:r>
      <w:r>
        <w:rPr/>
        <w:t>500</w:t>
      </w:r>
      <w:r>
        <w:rPr>
          <w:spacing w:val="-14"/>
        </w:rPr>
        <w:t> 万美元或</w:t>
      </w:r>
      <w:r>
        <w:rPr/>
        <w:t>5000</w:t>
      </w:r>
      <w:r>
        <w:rPr>
          <w:spacing w:val="-47"/>
        </w:rPr>
        <w:t> 万元人民币</w:t>
      </w:r>
      <w:r>
        <w:rPr/>
        <w:t>（以</w:t>
      </w:r>
      <w:r>
        <w:rPr>
          <w:spacing w:val="-8"/>
        </w:rPr>
        <w:t>下金额单位“元”均为人民币</w:t>
      </w:r>
      <w:r>
        <w:rPr>
          <w:spacing w:val="-29"/>
        </w:rPr>
        <w:t>）</w:t>
      </w:r>
      <w:r>
        <w:rPr>
          <w:spacing w:val="-17"/>
        </w:rPr>
        <w:t>给予最高 </w:t>
      </w:r>
      <w:r>
        <w:rPr/>
        <w:t>100</w:t>
      </w:r>
      <w:r>
        <w:rPr>
          <w:spacing w:val="-15"/>
        </w:rPr>
        <w:t> 万元奖励，单个项</w:t>
      </w:r>
      <w:r>
        <w:rPr>
          <w:spacing w:val="-27"/>
        </w:rPr>
        <w:t>目最高奖励 </w:t>
      </w:r>
      <w:r>
        <w:rPr/>
        <w:t>1</w:t>
      </w:r>
      <w:r>
        <w:rPr>
          <w:spacing w:val="-15"/>
        </w:rPr>
        <w:t> 亿元。实缴注册资本在企业完成设立或迁入登记注</w:t>
      </w:r>
      <w:r>
        <w:rPr>
          <w:spacing w:val="-15"/>
          <w:w w:val="95"/>
        </w:rPr>
        <w:t>册后的一年内可累加计算。</w:t>
      </w:r>
    </w:p>
    <w:p>
      <w:pPr>
        <w:pStyle w:val="BodyText"/>
        <w:spacing w:line="333" w:lineRule="auto" w:before="38"/>
        <w:ind w:right="106" w:firstLine="640"/>
        <w:jc w:val="both"/>
      </w:pPr>
      <w:r>
        <w:rPr>
          <w:rFonts w:ascii="楷体" w:eastAsia="楷体" w:hint="eastAsia"/>
        </w:rPr>
        <w:t>第十九条 </w:t>
      </w:r>
      <w:r>
        <w:rPr/>
        <w:t>鼓励企业节约集约用地。对于符合广东省确定的</w:t>
      </w:r>
      <w:r>
        <w:rPr>
          <w:w w:val="95"/>
        </w:rPr>
        <w:t>优先发展产业且用地集约的入园企业，土地出让地价可按园区工</w:t>
      </w:r>
    </w:p>
    <w:p>
      <w:pPr>
        <w:spacing w:after="0" w:line="333" w:lineRule="auto"/>
        <w:jc w:val="both"/>
        <w:sectPr>
          <w:pgSz w:w="11910" w:h="16840"/>
          <w:pgMar w:header="0" w:footer="874" w:top="1580" w:bottom="1060" w:left="1420" w:right="1420"/>
        </w:sectPr>
      </w:pPr>
    </w:p>
    <w:p>
      <w:pPr>
        <w:pStyle w:val="BodyText"/>
        <w:ind w:left="0"/>
        <w:rPr>
          <w:sz w:val="20"/>
        </w:rPr>
      </w:pPr>
    </w:p>
    <w:p>
      <w:pPr>
        <w:pStyle w:val="BodyText"/>
        <w:spacing w:before="7"/>
        <w:ind w:left="0"/>
        <w:rPr>
          <w:sz w:val="20"/>
        </w:rPr>
      </w:pPr>
    </w:p>
    <w:p>
      <w:pPr>
        <w:pStyle w:val="BodyText"/>
        <w:spacing w:line="333" w:lineRule="auto" w:before="1"/>
      </w:pPr>
      <w:r>
        <w:rPr>
          <w:spacing w:val="-9"/>
        </w:rPr>
        <w:t>业用地市场评估价的 </w:t>
      </w:r>
      <w:r>
        <w:rPr/>
        <w:t>70</w:t>
      </w:r>
      <w:r>
        <w:rPr>
          <w:spacing w:val="-6"/>
        </w:rPr>
        <w:t>%执行，并允许按照规划确定的用地围墙</w:t>
      </w:r>
      <w:r>
        <w:rPr>
          <w:spacing w:val="-6"/>
          <w:w w:val="95"/>
        </w:rPr>
        <w:t>线内面积出让。</w:t>
      </w:r>
    </w:p>
    <w:p>
      <w:pPr>
        <w:pStyle w:val="BodyText"/>
        <w:spacing w:line="331" w:lineRule="auto" w:before="34"/>
        <w:ind w:right="106" w:firstLine="640"/>
        <w:jc w:val="both"/>
      </w:pPr>
      <w:r>
        <w:rPr>
          <w:rFonts w:ascii="楷体" w:eastAsia="楷体" w:hint="eastAsia"/>
          <w:spacing w:val="1"/>
        </w:rPr>
        <w:t>第二十条 </w:t>
      </w:r>
      <w:r>
        <w:rPr/>
        <w:t>鼓励企业加快项目建设。项目按规定取得施工许</w:t>
      </w:r>
      <w:r>
        <w:rPr>
          <w:spacing w:val="5"/>
        </w:rPr>
        <w:t>可证，在投资协议约定的建设周期内开工建设并按时竣工投产</w:t>
      </w:r>
      <w:r>
        <w:rPr>
          <w:spacing w:val="-7"/>
        </w:rPr>
        <w:t>的，对新(扩)建部分按 </w:t>
      </w:r>
      <w:r>
        <w:rPr/>
        <w:t>50</w:t>
      </w:r>
      <w:r>
        <w:rPr>
          <w:spacing w:val="-8"/>
        </w:rPr>
        <w:t> 元每平方米给予补贴，单个项目补贴</w:t>
      </w:r>
      <w:r>
        <w:rPr>
          <w:spacing w:val="-23"/>
        </w:rPr>
        <w:t>累计最高 </w:t>
      </w:r>
      <w:r>
        <w:rPr/>
        <w:t>150</w:t>
      </w:r>
      <w:r>
        <w:rPr>
          <w:spacing w:val="-21"/>
        </w:rPr>
        <w:t> 万元。</w:t>
      </w:r>
    </w:p>
    <w:p>
      <w:pPr>
        <w:pStyle w:val="BodyText"/>
        <w:spacing w:line="331" w:lineRule="auto" w:before="37"/>
        <w:ind w:right="108" w:firstLine="640"/>
        <w:jc w:val="both"/>
      </w:pPr>
      <w:r>
        <w:rPr>
          <w:rFonts w:ascii="楷体" w:eastAsia="楷体" w:hint="eastAsia"/>
          <w:spacing w:val="1"/>
        </w:rPr>
        <w:t>第二十一条 </w:t>
      </w:r>
      <w:r>
        <w:rPr/>
        <w:t>鼓励提升用地效益。对经园区管委会批准的盘</w:t>
      </w:r>
      <w:r>
        <w:rPr>
          <w:spacing w:val="-9"/>
        </w:rPr>
        <w:t>活闲置企业用地或厂房，提升原有用地效益的项目，按照地方贡</w:t>
      </w:r>
      <w:r>
        <w:rPr>
          <w:spacing w:val="-9"/>
          <w:w w:val="95"/>
        </w:rPr>
        <w:t>献增量，给予适当比例的奖励。</w:t>
      </w:r>
    </w:p>
    <w:p>
      <w:pPr>
        <w:pStyle w:val="BodyText"/>
        <w:spacing w:line="331" w:lineRule="auto" w:before="40"/>
        <w:ind w:right="108" w:firstLine="640"/>
        <w:jc w:val="both"/>
      </w:pPr>
      <w:r>
        <w:rPr>
          <w:rFonts w:ascii="楷体" w:eastAsia="楷体" w:hint="eastAsia"/>
          <w:spacing w:val="1"/>
        </w:rPr>
        <w:t>第二十二条 </w:t>
      </w:r>
      <w:r>
        <w:rPr/>
        <w:t>鼓励发展总部企业。在园区落户的总部企业从</w:t>
      </w:r>
      <w:r>
        <w:rPr>
          <w:spacing w:val="-11"/>
        </w:rPr>
        <w:t>经营贡献、并购重组、办公用房、高管纳税、用地人才等几方面</w:t>
      </w:r>
      <w:r>
        <w:rPr>
          <w:spacing w:val="-15"/>
        </w:rPr>
        <w:t>给予政策和资金支持。对获得《珠海市加强总部企业发展实施办</w:t>
      </w:r>
      <w:r>
        <w:rPr>
          <w:spacing w:val="-12"/>
        </w:rPr>
        <w:t>法》认定新落户总部奖和经营贡献奖的企业或经园区认定的总部企业，按照实缴注册资本和园区年度财政贡献给予奖励，每次奖</w:t>
      </w:r>
      <w:r>
        <w:rPr>
          <w:spacing w:val="-30"/>
        </w:rPr>
        <w:t>励最高 </w:t>
      </w:r>
      <w:r>
        <w:rPr/>
        <w:t>1</w:t>
      </w:r>
      <w:r>
        <w:rPr>
          <w:spacing w:val="-19"/>
        </w:rPr>
        <w:t> 亿元。其中奖励金额的 </w:t>
      </w:r>
      <w:r>
        <w:rPr/>
        <w:t>40%可直接奖励给其高级管理人</w:t>
      </w:r>
      <w:r>
        <w:rPr>
          <w:spacing w:val="-11"/>
        </w:rPr>
        <w:t>员，高级管理人员奖励名单由企业提供，涉及个人所得税由个人</w:t>
      </w:r>
      <w:r>
        <w:rPr>
          <w:spacing w:val="-11"/>
          <w:w w:val="95"/>
        </w:rPr>
        <w:t>自行承担。</w:t>
      </w:r>
    </w:p>
    <w:p>
      <w:pPr>
        <w:pStyle w:val="BodyText"/>
        <w:tabs>
          <w:tab w:pos="1917" w:val="left" w:leader="none"/>
        </w:tabs>
        <w:spacing w:before="40"/>
        <w:ind w:left="636"/>
        <w:jc w:val="center"/>
        <w:rPr>
          <w:rFonts w:ascii="黑体" w:eastAsia="黑体" w:hint="eastAsia"/>
        </w:rPr>
      </w:pPr>
      <w:r>
        <w:rPr>
          <w:rFonts w:ascii="黑体" w:eastAsia="黑体" w:hint="eastAsia"/>
        </w:rPr>
        <w:t>第四章</w:t>
        <w:tab/>
      </w:r>
      <w:r>
        <w:rPr>
          <w:rFonts w:ascii="黑体" w:eastAsia="黑体" w:hint="eastAsia"/>
          <w:w w:val="95"/>
        </w:rPr>
        <w:t>鼓励企业做大做强</w:t>
      </w:r>
    </w:p>
    <w:p>
      <w:pPr>
        <w:pStyle w:val="BodyText"/>
        <w:spacing w:line="331" w:lineRule="auto" w:before="160"/>
        <w:ind w:right="108" w:firstLine="640"/>
        <w:jc w:val="both"/>
      </w:pPr>
      <w:r>
        <w:rPr>
          <w:rFonts w:ascii="楷体" w:eastAsia="楷体" w:hint="eastAsia"/>
          <w:spacing w:val="1"/>
        </w:rPr>
        <w:t>第二十三条 </w:t>
      </w:r>
      <w:r>
        <w:rPr/>
        <w:t>支持企业做大规模。对新投产企业当年度达到</w:t>
      </w:r>
      <w:r>
        <w:rPr>
          <w:spacing w:val="-17"/>
        </w:rPr>
        <w:t>规模以上的，给予 </w:t>
      </w:r>
      <w:r>
        <w:rPr/>
        <w:t>50</w:t>
      </w:r>
      <w:r>
        <w:rPr>
          <w:spacing w:val="-20"/>
        </w:rPr>
        <w:t> 万元的一次性奖励，其中 </w:t>
      </w:r>
      <w:r>
        <w:rPr/>
        <w:t>20</w:t>
      </w:r>
      <w:r>
        <w:rPr>
          <w:spacing w:val="-13"/>
        </w:rPr>
        <w:t> 万元可直接奖</w:t>
      </w:r>
      <w:r>
        <w:rPr>
          <w:spacing w:val="-13"/>
          <w:w w:val="95"/>
        </w:rPr>
        <w:t>励企业负责人。</w:t>
      </w:r>
    </w:p>
    <w:p>
      <w:pPr>
        <w:pStyle w:val="BodyText"/>
        <w:spacing w:before="40"/>
        <w:ind w:left="636"/>
        <w:jc w:val="center"/>
      </w:pPr>
      <w:r>
        <w:rPr>
          <w:spacing w:val="-8"/>
        </w:rPr>
        <w:t>对年营业收入首次超过 </w:t>
      </w:r>
      <w:r>
        <w:rPr/>
        <w:t>1</w:t>
      </w:r>
      <w:r>
        <w:rPr>
          <w:spacing w:val="-20"/>
        </w:rPr>
        <w:t> 亿元、</w:t>
      </w:r>
      <w:r>
        <w:rPr/>
        <w:t>10</w:t>
      </w:r>
      <w:r>
        <w:rPr>
          <w:spacing w:val="-19"/>
        </w:rPr>
        <w:t> 亿元、</w:t>
      </w:r>
      <w:r>
        <w:rPr/>
        <w:t>50</w:t>
      </w:r>
      <w:r>
        <w:rPr>
          <w:spacing w:val="-32"/>
        </w:rPr>
        <w:t> 亿元和 </w:t>
      </w:r>
      <w:r>
        <w:rPr/>
        <w:t>100</w:t>
      </w:r>
      <w:r>
        <w:rPr>
          <w:spacing w:val="-40"/>
        </w:rPr>
        <w:t> 亿</w:t>
      </w:r>
    </w:p>
    <w:p>
      <w:pPr>
        <w:spacing w:after="0"/>
        <w:jc w:val="center"/>
        <w:sectPr>
          <w:pgSz w:w="11910" w:h="16840"/>
          <w:pgMar w:header="0" w:footer="874" w:top="1580" w:bottom="1060" w:left="1420" w:right="1420"/>
        </w:sectPr>
      </w:pPr>
    </w:p>
    <w:p>
      <w:pPr>
        <w:pStyle w:val="BodyText"/>
        <w:ind w:left="0"/>
        <w:rPr>
          <w:sz w:val="20"/>
        </w:rPr>
      </w:pPr>
    </w:p>
    <w:p>
      <w:pPr>
        <w:pStyle w:val="BodyText"/>
        <w:spacing w:before="7"/>
        <w:ind w:left="0"/>
        <w:rPr>
          <w:sz w:val="20"/>
        </w:rPr>
      </w:pPr>
    </w:p>
    <w:p>
      <w:pPr>
        <w:pStyle w:val="BodyText"/>
        <w:spacing w:line="331" w:lineRule="auto" w:before="1"/>
        <w:ind w:right="103"/>
        <w:jc w:val="both"/>
      </w:pPr>
      <w:r>
        <w:rPr>
          <w:spacing w:val="-1"/>
        </w:rPr>
        <w:t>元的工业企业，一次性给予 </w:t>
      </w:r>
      <w:r>
        <w:rPr/>
        <w:t>10</w:t>
      </w:r>
      <w:r>
        <w:rPr>
          <w:spacing w:val="-14"/>
        </w:rPr>
        <w:t> 万元、</w:t>
      </w:r>
      <w:r>
        <w:rPr/>
        <w:t>50</w:t>
      </w:r>
      <w:r>
        <w:rPr>
          <w:spacing w:val="-14"/>
        </w:rPr>
        <w:t> 万元、</w:t>
      </w:r>
      <w:r>
        <w:rPr/>
        <w:t>100</w:t>
      </w:r>
      <w:r>
        <w:rPr>
          <w:spacing w:val="-14"/>
        </w:rPr>
        <w:t> 万元、</w:t>
      </w:r>
      <w:r>
        <w:rPr/>
        <w:t>200 万元的奖励。其中，30%以上的奖励资金可用于对企业高管、技</w:t>
      </w:r>
      <w:r>
        <w:rPr>
          <w:w w:val="95"/>
        </w:rPr>
        <w:t>术人员、创新人才等有突出贡献人员的奖励。</w:t>
      </w:r>
    </w:p>
    <w:p>
      <w:pPr>
        <w:pStyle w:val="BodyText"/>
        <w:spacing w:line="331" w:lineRule="auto" w:before="37"/>
        <w:ind w:right="108" w:firstLine="640"/>
        <w:jc w:val="both"/>
      </w:pPr>
      <w:r>
        <w:rPr>
          <w:rFonts w:ascii="楷体" w:eastAsia="楷体" w:hint="eastAsia"/>
          <w:spacing w:val="1"/>
        </w:rPr>
        <w:t>第二十四条 </w:t>
      </w:r>
      <w:r>
        <w:rPr/>
        <w:t>表彰重点纳税企业。设立专项资金，每年对园</w:t>
      </w:r>
      <w:r>
        <w:rPr>
          <w:spacing w:val="-6"/>
        </w:rPr>
        <w:t>区年度税收地方贡献前十名企业给予表彰奖励，单个企业最高奖</w:t>
      </w:r>
      <w:r>
        <w:rPr>
          <w:spacing w:val="-43"/>
        </w:rPr>
        <w:t>励 </w:t>
      </w:r>
      <w:r>
        <w:rPr/>
        <w:t>100</w:t>
      </w:r>
      <w:r>
        <w:rPr>
          <w:spacing w:val="-21"/>
        </w:rPr>
        <w:t> 万元。</w:t>
      </w:r>
    </w:p>
    <w:p>
      <w:pPr>
        <w:pStyle w:val="BodyText"/>
        <w:spacing w:before="37"/>
        <w:ind w:left="749"/>
      </w:pPr>
      <w:r>
        <w:rPr>
          <w:rFonts w:ascii="楷体" w:eastAsia="楷体" w:hint="eastAsia"/>
        </w:rPr>
        <w:t>第二十五条 </w:t>
      </w:r>
      <w:r>
        <w:rPr/>
        <w:t>支持企业扩容提质。对工业红线内的工业用地</w:t>
      </w:r>
    </w:p>
    <w:p>
      <w:pPr>
        <w:pStyle w:val="BodyText"/>
        <w:spacing w:line="331" w:lineRule="auto" w:before="159"/>
        <w:ind w:right="108"/>
        <w:jc w:val="both"/>
      </w:pPr>
      <w:r>
        <w:rPr/>
        <w:t>（MO</w:t>
      </w:r>
      <w:r>
        <w:rPr>
          <w:spacing w:val="-25"/>
        </w:rPr>
        <w:t> 除外</w:t>
      </w:r>
      <w:r>
        <w:rPr/>
        <w:t>）</w:t>
      </w:r>
      <w:r>
        <w:rPr>
          <w:spacing w:val="1"/>
        </w:rPr>
        <w:t>进行“工改工”厂房扩容改建，改建后整体建筑容</w:t>
      </w:r>
      <w:r>
        <w:rPr>
          <w:spacing w:val="-15"/>
        </w:rPr>
        <w:t>积率达到 </w:t>
      </w:r>
      <w:r>
        <w:rPr/>
        <w:t>1.5</w:t>
      </w:r>
      <w:r>
        <w:rPr>
          <w:spacing w:val="-23"/>
        </w:rPr>
        <w:t> 以上，新增建筑面积 </w:t>
      </w:r>
      <w:r>
        <w:rPr/>
        <w:t>1</w:t>
      </w:r>
      <w:r>
        <w:rPr>
          <w:spacing w:val="-13"/>
        </w:rPr>
        <w:t> 万平方米以上，项目竣工验</w:t>
      </w:r>
      <w:r>
        <w:rPr>
          <w:spacing w:val="-12"/>
        </w:rPr>
        <w:t>收后，落户新一代信息技术、高端装备制造、绿色低碳、生命健康、数字经济、新能源、新材料等战略性新兴产业方向项目，对</w:t>
      </w:r>
      <w:r>
        <w:rPr>
          <w:spacing w:val="-13"/>
        </w:rPr>
        <w:t>项目总建筑面积按 </w:t>
      </w:r>
      <w:r>
        <w:rPr/>
        <w:t>100</w:t>
      </w:r>
      <w:r>
        <w:rPr>
          <w:spacing w:val="-38"/>
        </w:rPr>
        <w:t> 元</w:t>
      </w:r>
      <w:r>
        <w:rPr/>
        <w:t>/平方米标准奖励实施主体，单个项目</w:t>
      </w:r>
      <w:r>
        <w:rPr>
          <w:spacing w:val="-16"/>
        </w:rPr>
        <w:t>奖励最高 </w:t>
      </w:r>
      <w:r>
        <w:rPr/>
        <w:t>1000</w:t>
      </w:r>
      <w:r>
        <w:rPr>
          <w:spacing w:val="-21"/>
        </w:rPr>
        <w:t> 万元。</w:t>
      </w:r>
    </w:p>
    <w:p>
      <w:pPr>
        <w:pStyle w:val="BodyText"/>
        <w:spacing w:line="331" w:lineRule="auto" w:before="40"/>
        <w:ind w:right="108" w:firstLine="640"/>
        <w:jc w:val="both"/>
      </w:pPr>
      <w:r>
        <w:rPr>
          <w:spacing w:val="-4"/>
        </w:rPr>
        <w:t>对在园区内规模以上工业企业入驻园区单体面积 </w:t>
      </w:r>
      <w:r>
        <w:rPr/>
        <w:t>2000</w:t>
      </w:r>
      <w:r>
        <w:rPr>
          <w:spacing w:val="-26"/>
        </w:rPr>
        <w:t> 平方</w:t>
      </w:r>
      <w:r>
        <w:rPr>
          <w:spacing w:val="-27"/>
        </w:rPr>
        <w:t>米以上、连续闲置 </w:t>
      </w:r>
      <w:r>
        <w:rPr/>
        <w:t>3</w:t>
      </w:r>
      <w:r>
        <w:rPr>
          <w:spacing w:val="-18"/>
        </w:rPr>
        <w:t> 个月以上的厂房，实施投资总额为 </w:t>
      </w:r>
      <w:r>
        <w:rPr/>
        <w:t>500</w:t>
      </w:r>
      <w:r>
        <w:rPr>
          <w:spacing w:val="-28"/>
        </w:rPr>
        <w:t> 万元</w:t>
      </w:r>
      <w:r>
        <w:rPr>
          <w:spacing w:val="-18"/>
        </w:rPr>
        <w:t>以上的项目，按《珠海市产业发展导向目录》中优先发展类和鼓</w:t>
      </w:r>
      <w:r>
        <w:rPr>
          <w:spacing w:val="-12"/>
        </w:rPr>
        <w:t>励发展类分别给予最高 </w:t>
      </w:r>
      <w:r>
        <w:rPr/>
        <w:t>10</w:t>
      </w:r>
      <w:r>
        <w:rPr>
          <w:spacing w:val="-39"/>
        </w:rPr>
        <w:t> 元</w:t>
      </w:r>
      <w:r>
        <w:rPr/>
        <w:t>/</w:t>
      </w:r>
      <w:r>
        <w:rPr>
          <w:spacing w:val="-16"/>
        </w:rPr>
        <w:t>平方米和 </w:t>
      </w:r>
      <w:r>
        <w:rPr/>
        <w:t>8</w:t>
      </w:r>
      <w:r>
        <w:rPr>
          <w:spacing w:val="-38"/>
        </w:rPr>
        <w:t> 元</w:t>
      </w:r>
      <w:r>
        <w:rPr/>
        <w:t>/平方米的月租金补</w:t>
      </w:r>
      <w:r>
        <w:rPr>
          <w:spacing w:val="-12"/>
        </w:rPr>
        <w:t>贴，连续给予 </w:t>
      </w:r>
      <w:r>
        <w:rPr/>
        <w:t>12</w:t>
      </w:r>
      <w:r>
        <w:rPr>
          <w:spacing w:val="-25"/>
        </w:rPr>
        <w:t> 个月，最高 </w:t>
      </w:r>
      <w:r>
        <w:rPr/>
        <w:t>100</w:t>
      </w:r>
      <w:r>
        <w:rPr>
          <w:spacing w:val="-21"/>
        </w:rPr>
        <w:t> 万元。</w:t>
      </w:r>
    </w:p>
    <w:p>
      <w:pPr>
        <w:pStyle w:val="BodyText"/>
        <w:spacing w:line="331" w:lineRule="auto" w:before="38"/>
        <w:ind w:right="108" w:firstLine="640"/>
        <w:jc w:val="both"/>
      </w:pPr>
      <w:r>
        <w:rPr>
          <w:rFonts w:ascii="楷体" w:eastAsia="楷体" w:hint="eastAsia"/>
          <w:spacing w:val="1"/>
        </w:rPr>
        <w:t>第二十六条 </w:t>
      </w:r>
      <w:r>
        <w:rPr/>
        <w:t>支持企业增资扩产。对新增实缴注册资本（仅</w:t>
      </w:r>
      <w:r>
        <w:rPr>
          <w:spacing w:val="-8"/>
        </w:rPr>
        <w:t>限货币出资、未分配利润转增出资和已分配未支付转增出资</w:t>
      </w:r>
      <w:r>
        <w:rPr>
          <w:spacing w:val="-58"/>
        </w:rPr>
        <w:t>）</w:t>
      </w:r>
      <w:r>
        <w:rPr/>
        <w:t>的</w:t>
      </w:r>
      <w:r>
        <w:rPr>
          <w:spacing w:val="-15"/>
        </w:rPr>
        <w:t>先进实体经济项目，按照企业新增实缴注册资本每 </w:t>
      </w:r>
      <w:r>
        <w:rPr/>
        <w:t>500</w:t>
      </w:r>
      <w:r>
        <w:rPr>
          <w:spacing w:val="-18"/>
        </w:rPr>
        <w:t> 万美元或</w:t>
      </w:r>
    </w:p>
    <w:p>
      <w:pPr>
        <w:pStyle w:val="BodyText"/>
        <w:spacing w:before="40"/>
        <w:jc w:val="both"/>
      </w:pPr>
      <w:r>
        <w:rPr/>
        <w:t>5000 万元给予 150 万元奖励，单个项目最高奖励 1 亿元。</w:t>
      </w:r>
    </w:p>
    <w:p>
      <w:pPr>
        <w:spacing w:after="0"/>
        <w:jc w:val="both"/>
        <w:sectPr>
          <w:pgSz w:w="11910" w:h="16840"/>
          <w:pgMar w:header="0" w:footer="874" w:top="1580" w:bottom="1060" w:left="1420" w:right="1420"/>
        </w:sectPr>
      </w:pPr>
    </w:p>
    <w:p>
      <w:pPr>
        <w:pStyle w:val="BodyText"/>
        <w:ind w:left="0"/>
        <w:rPr>
          <w:sz w:val="20"/>
        </w:rPr>
      </w:pPr>
    </w:p>
    <w:p>
      <w:pPr>
        <w:pStyle w:val="BodyText"/>
        <w:spacing w:before="7"/>
        <w:ind w:left="0"/>
        <w:rPr>
          <w:sz w:val="20"/>
        </w:rPr>
      </w:pPr>
    </w:p>
    <w:p>
      <w:pPr>
        <w:pStyle w:val="BodyText"/>
        <w:spacing w:line="333" w:lineRule="auto" w:before="1"/>
        <w:ind w:right="140" w:firstLine="640"/>
      </w:pPr>
      <w:r>
        <w:rPr>
          <w:spacing w:val="-6"/>
        </w:rPr>
        <w:t>对同比上一年度主营收入增加 </w:t>
      </w:r>
      <w:r>
        <w:rPr/>
        <w:t>1</w:t>
      </w:r>
      <w:r>
        <w:rPr>
          <w:spacing w:val="-29"/>
        </w:rPr>
        <w:t> 亿元以上</w:t>
      </w:r>
      <w:r>
        <w:rPr/>
        <w:t>（</w:t>
      </w:r>
      <w:r>
        <w:rPr>
          <w:spacing w:val="-41"/>
        </w:rPr>
        <w:t>含 </w:t>
      </w:r>
      <w:r>
        <w:rPr/>
        <w:t>1</w:t>
      </w:r>
      <w:r>
        <w:rPr>
          <w:spacing w:val="-25"/>
        </w:rPr>
        <w:t> 亿元，以下</w:t>
      </w:r>
      <w:r>
        <w:rPr>
          <w:spacing w:val="-15"/>
        </w:rPr>
        <w:t>金额“以上”均含本数</w:t>
      </w:r>
      <w:r>
        <w:rPr>
          <w:spacing w:val="-5"/>
        </w:rPr>
        <w:t>）</w:t>
      </w:r>
      <w:r>
        <w:rPr>
          <w:spacing w:val="-8"/>
        </w:rPr>
        <w:t>、</w:t>
      </w:r>
      <w:r>
        <w:rPr/>
        <w:t>5</w:t>
      </w:r>
      <w:r>
        <w:rPr>
          <w:spacing w:val="-15"/>
        </w:rPr>
        <w:t> 亿元以上、</w:t>
      </w:r>
      <w:r>
        <w:rPr/>
        <w:t>10</w:t>
      </w:r>
      <w:r>
        <w:rPr>
          <w:spacing w:val="-17"/>
        </w:rPr>
        <w:t> 亿元以上、</w:t>
      </w:r>
      <w:r>
        <w:rPr/>
        <w:t>30</w:t>
      </w:r>
      <w:r>
        <w:rPr>
          <w:spacing w:val="-21"/>
        </w:rPr>
        <w:t> 亿元、</w:t>
      </w:r>
    </w:p>
    <w:p>
      <w:pPr>
        <w:pStyle w:val="BodyText"/>
        <w:spacing w:line="331" w:lineRule="auto" w:before="34"/>
        <w:ind w:right="269"/>
        <w:jc w:val="both"/>
      </w:pPr>
      <w:r>
        <w:rPr/>
        <w:t>50</w:t>
      </w:r>
      <w:r>
        <w:rPr>
          <w:spacing w:val="-15"/>
        </w:rPr>
        <w:t> 亿元以上的先进实体经济项目，分别给予最高 </w:t>
      </w:r>
      <w:r>
        <w:rPr/>
        <w:t>200</w:t>
      </w:r>
      <w:r>
        <w:rPr>
          <w:spacing w:val="-26"/>
        </w:rPr>
        <w:t> 万元、</w:t>
      </w:r>
      <w:r>
        <w:rPr/>
        <w:t>400 </w:t>
      </w:r>
      <w:r>
        <w:rPr>
          <w:spacing w:val="5"/>
        </w:rPr>
        <w:t>万元、</w:t>
      </w:r>
      <w:r>
        <w:rPr/>
        <w:t>600</w:t>
      </w:r>
      <w:r>
        <w:rPr>
          <w:spacing w:val="-17"/>
        </w:rPr>
        <w:t> 万元、</w:t>
      </w:r>
      <w:r>
        <w:rPr/>
        <w:t>1200</w:t>
      </w:r>
      <w:r>
        <w:rPr>
          <w:spacing w:val="-16"/>
        </w:rPr>
        <w:t> 万元、</w:t>
      </w:r>
      <w:r>
        <w:rPr/>
        <w:t>2000</w:t>
      </w:r>
      <w:r>
        <w:rPr>
          <w:spacing w:val="-4"/>
        </w:rPr>
        <w:t> 万元奖励。同比的上一年度</w:t>
      </w:r>
      <w:r>
        <w:rPr>
          <w:spacing w:val="-9"/>
        </w:rPr>
        <w:t>主营业务收入小于上次企业获得奖励年度主营业务收入的，以上</w:t>
      </w:r>
      <w:r>
        <w:rPr>
          <w:spacing w:val="-9"/>
          <w:w w:val="95"/>
        </w:rPr>
        <w:t>次奖励年度主营业务收入为同比基数。</w:t>
      </w:r>
    </w:p>
    <w:p>
      <w:pPr>
        <w:pStyle w:val="BodyText"/>
        <w:tabs>
          <w:tab w:pos="4212" w:val="left" w:leader="none"/>
        </w:tabs>
        <w:spacing w:before="37"/>
        <w:ind w:left="2931"/>
        <w:rPr>
          <w:rFonts w:ascii="黑体" w:eastAsia="黑体" w:hint="eastAsia"/>
        </w:rPr>
      </w:pPr>
      <w:r>
        <w:rPr>
          <w:rFonts w:ascii="黑体" w:eastAsia="黑体" w:hint="eastAsia"/>
        </w:rPr>
        <w:t>第五章</w:t>
        <w:tab/>
      </w:r>
      <w:r>
        <w:rPr>
          <w:rFonts w:ascii="黑体" w:eastAsia="黑体" w:hint="eastAsia"/>
          <w:w w:val="95"/>
        </w:rPr>
        <w:t>鼓励企业转型升级</w:t>
      </w:r>
    </w:p>
    <w:p>
      <w:pPr>
        <w:pStyle w:val="BodyText"/>
        <w:spacing w:line="331" w:lineRule="auto" w:before="159"/>
        <w:ind w:right="266" w:firstLine="640"/>
        <w:jc w:val="both"/>
      </w:pPr>
      <w:r>
        <w:rPr>
          <w:rFonts w:ascii="楷体" w:eastAsia="楷体" w:hint="eastAsia"/>
          <w:spacing w:val="0"/>
        </w:rPr>
        <w:t>第二十七条 </w:t>
      </w:r>
      <w:r>
        <w:rPr>
          <w:spacing w:val="-1"/>
        </w:rPr>
        <w:t>鼓励企业开展技术改造。对实施技术改造项目</w:t>
      </w:r>
      <w:r>
        <w:rPr/>
        <w:t>并完工的企业，可按企业对财政 贡献增量额度中省级留成部分</w:t>
      </w:r>
      <w:r>
        <w:rPr>
          <w:spacing w:val="3"/>
        </w:rPr>
        <w:t>的 </w:t>
      </w:r>
      <w:r>
        <w:rPr/>
        <w:t>60%</w:t>
      </w:r>
      <w:r>
        <w:rPr>
          <w:spacing w:val="-9"/>
        </w:rPr>
        <w:t>、市级留成部分的 </w:t>
      </w:r>
      <w:r>
        <w:rPr/>
        <w:t>50%</w:t>
      </w:r>
      <w:r>
        <w:rPr>
          <w:spacing w:val="-9"/>
        </w:rPr>
        <w:t>、区级留成部分的 </w:t>
      </w:r>
      <w:r>
        <w:rPr/>
        <w:t>40%连续三年给</w:t>
      </w:r>
      <w:r>
        <w:rPr>
          <w:spacing w:val="-13"/>
        </w:rPr>
        <w:t>予财政奖补；或按设备投资额最高 </w:t>
      </w:r>
      <w:r>
        <w:rPr/>
        <w:t>5</w:t>
      </w:r>
      <w:r>
        <w:rPr>
          <w:spacing w:val="-15"/>
        </w:rPr>
        <w:t>%给予补贴，最高不超过 </w:t>
      </w:r>
      <w:r>
        <w:rPr/>
        <w:t>500 </w:t>
      </w:r>
      <w:r>
        <w:rPr>
          <w:w w:val="95"/>
        </w:rPr>
        <w:t>万元。企业可根据自身情况选择奖补类别。</w:t>
      </w:r>
    </w:p>
    <w:p>
      <w:pPr>
        <w:pStyle w:val="BodyText"/>
        <w:spacing w:line="331" w:lineRule="auto" w:before="38"/>
        <w:ind w:right="261" w:firstLine="640"/>
        <w:jc w:val="both"/>
      </w:pPr>
      <w:r>
        <w:rPr>
          <w:rFonts w:ascii="楷体" w:eastAsia="楷体" w:hint="eastAsia"/>
          <w:spacing w:val="0"/>
        </w:rPr>
        <w:t>第二十八条 </w:t>
      </w:r>
      <w:r>
        <w:rPr>
          <w:spacing w:val="-5"/>
        </w:rPr>
        <w:t>鼓励企业纳入技改统计。对企业投资 </w:t>
      </w:r>
      <w:r>
        <w:rPr/>
        <w:t>500</w:t>
      </w:r>
      <w:r>
        <w:rPr>
          <w:spacing w:val="-27"/>
        </w:rPr>
        <w:t> 万元</w:t>
      </w:r>
      <w:r>
        <w:rPr>
          <w:spacing w:val="-50"/>
        </w:rPr>
        <w:t>和 </w:t>
      </w:r>
      <w:r>
        <w:rPr/>
        <w:t>5000</w:t>
      </w:r>
      <w:r>
        <w:rPr>
          <w:spacing w:val="-8"/>
        </w:rPr>
        <w:t> 万元以上技术改造，并纳入统计数据库的项目，分别给</w:t>
      </w:r>
      <w:r>
        <w:rPr>
          <w:spacing w:val="-26"/>
        </w:rPr>
        <w:t>予企业 </w:t>
      </w:r>
      <w:r>
        <w:rPr/>
        <w:t>10</w:t>
      </w:r>
      <w:r>
        <w:rPr>
          <w:spacing w:val="-33"/>
        </w:rPr>
        <w:t> 万元和 </w:t>
      </w:r>
      <w:r>
        <w:rPr/>
        <w:t>20</w:t>
      </w:r>
      <w:r>
        <w:rPr>
          <w:spacing w:val="-11"/>
        </w:rPr>
        <w:t> 万元一次性奖励。</w:t>
      </w:r>
    </w:p>
    <w:p>
      <w:pPr>
        <w:pStyle w:val="BodyText"/>
        <w:spacing w:line="331" w:lineRule="auto" w:before="38"/>
        <w:ind w:right="266" w:firstLine="640"/>
        <w:jc w:val="both"/>
      </w:pPr>
      <w:r>
        <w:rPr>
          <w:rFonts w:ascii="楷体" w:eastAsia="楷体" w:hint="eastAsia"/>
          <w:spacing w:val="1"/>
        </w:rPr>
        <w:t>第二十九条 </w:t>
      </w:r>
      <w:r>
        <w:rPr/>
        <w:t>支持两化融合发展。对首次认定为两化融合管</w:t>
      </w:r>
      <w:r>
        <w:rPr>
          <w:spacing w:val="-6"/>
        </w:rPr>
        <w:t>理体系贯标试点的企业给予最高 </w:t>
      </w:r>
      <w:r>
        <w:rPr/>
        <w:t>15</w:t>
      </w:r>
      <w:r>
        <w:rPr>
          <w:spacing w:val="-9"/>
        </w:rPr>
        <w:t> 万元的奖励；对通过两化融</w:t>
      </w:r>
      <w:r>
        <w:rPr>
          <w:spacing w:val="-8"/>
        </w:rPr>
        <w:t>合管理体系达标认定的企业给予最高 </w:t>
      </w:r>
      <w:r>
        <w:rPr/>
        <w:t>50</w:t>
      </w:r>
      <w:r>
        <w:rPr>
          <w:spacing w:val="-9"/>
        </w:rPr>
        <w:t> 万元的奖励。对园区设</w:t>
      </w:r>
      <w:r>
        <w:rPr>
          <w:spacing w:val="-15"/>
        </w:rPr>
        <w:t>立的两化融合公共服务机构，每辅导一家企业通过国家两化融合</w:t>
      </w:r>
      <w:r>
        <w:rPr>
          <w:spacing w:val="-20"/>
        </w:rPr>
        <w:t>管理体系达标认定，给予最高 </w:t>
      </w:r>
      <w:r>
        <w:rPr/>
        <w:t>8</w:t>
      </w:r>
      <w:r>
        <w:rPr>
          <w:spacing w:val="-13"/>
        </w:rPr>
        <w:t> 万元的奖励。</w:t>
      </w:r>
    </w:p>
    <w:p>
      <w:pPr>
        <w:pStyle w:val="BodyText"/>
        <w:spacing w:line="333" w:lineRule="auto" w:before="38"/>
        <w:ind w:right="268" w:firstLine="640"/>
        <w:jc w:val="both"/>
      </w:pPr>
      <w:r>
        <w:rPr>
          <w:rFonts w:ascii="楷体" w:eastAsia="楷体" w:hint="eastAsia"/>
          <w:spacing w:val="0"/>
        </w:rPr>
        <w:t>第三十条 </w:t>
      </w:r>
      <w:r>
        <w:rPr/>
        <w:t>支持工业互联网发展。对经认定的工业互联网平</w:t>
      </w:r>
      <w:r>
        <w:rPr>
          <w:spacing w:val="-9"/>
        </w:rPr>
        <w:t>台、标杆示范项目分部给予最高 </w:t>
      </w:r>
      <w:r>
        <w:rPr/>
        <w:t>300</w:t>
      </w:r>
      <w:r>
        <w:rPr>
          <w:spacing w:val="-24"/>
        </w:rPr>
        <w:t> 万元、</w:t>
      </w:r>
      <w:r>
        <w:rPr/>
        <w:t>150</w:t>
      </w:r>
      <w:r>
        <w:rPr>
          <w:spacing w:val="-14"/>
        </w:rPr>
        <w:t> 万元的奖励。支</w:t>
      </w:r>
    </w:p>
    <w:p>
      <w:pPr>
        <w:spacing w:after="0" w:line="333" w:lineRule="auto"/>
        <w:jc w:val="both"/>
        <w:sectPr>
          <w:pgSz w:w="11910" w:h="16840"/>
          <w:pgMar w:header="0" w:footer="874" w:top="1580" w:bottom="1060" w:left="1420" w:right="1260"/>
        </w:sectPr>
      </w:pPr>
    </w:p>
    <w:p>
      <w:pPr>
        <w:pStyle w:val="BodyText"/>
        <w:ind w:left="0"/>
        <w:rPr>
          <w:sz w:val="20"/>
        </w:rPr>
      </w:pPr>
    </w:p>
    <w:p>
      <w:pPr>
        <w:pStyle w:val="BodyText"/>
        <w:spacing w:before="7"/>
        <w:ind w:left="0"/>
        <w:rPr>
          <w:sz w:val="20"/>
        </w:rPr>
      </w:pPr>
    </w:p>
    <w:p>
      <w:pPr>
        <w:pStyle w:val="BodyText"/>
        <w:spacing w:line="331" w:lineRule="auto" w:before="1"/>
        <w:ind w:right="110"/>
        <w:jc w:val="both"/>
      </w:pPr>
      <w:r>
        <w:rPr>
          <w:spacing w:val="-7"/>
        </w:rPr>
        <w:t>持工业互联网产业示范基地建设，对经国家、省认定的工业互联</w:t>
      </w:r>
      <w:r>
        <w:rPr>
          <w:spacing w:val="-19"/>
        </w:rPr>
        <w:t>网产业示范基地，给予最高 </w:t>
      </w:r>
      <w:r>
        <w:rPr/>
        <w:t>800</w:t>
      </w:r>
      <w:r>
        <w:rPr>
          <w:spacing w:val="-44"/>
        </w:rPr>
        <w:t> 万元、</w:t>
      </w:r>
      <w:r>
        <w:rPr/>
        <w:t>500</w:t>
      </w:r>
      <w:r>
        <w:rPr>
          <w:spacing w:val="-25"/>
        </w:rPr>
        <w:t> 万元奖励。对企业“上</w:t>
      </w:r>
      <w:r>
        <w:rPr>
          <w:spacing w:val="-21"/>
          <w:w w:val="95"/>
        </w:rPr>
        <w:t>云上平台”的应用服务费、设备接入费、网络改造费等给予补贴。</w:t>
      </w:r>
    </w:p>
    <w:p>
      <w:pPr>
        <w:pStyle w:val="BodyText"/>
        <w:spacing w:line="331" w:lineRule="auto" w:before="37"/>
        <w:ind w:right="268" w:firstLine="640"/>
        <w:jc w:val="both"/>
      </w:pPr>
      <w:r>
        <w:rPr>
          <w:rFonts w:ascii="楷体" w:eastAsia="楷体" w:hint="eastAsia"/>
          <w:spacing w:val="1"/>
        </w:rPr>
        <w:t>第三十一条 </w:t>
      </w:r>
      <w:r>
        <w:rPr/>
        <w:t>鼓励企业绿色发展。对入选工信部绿色制造体</w:t>
      </w:r>
      <w:r>
        <w:rPr>
          <w:spacing w:val="-6"/>
          <w:w w:val="95"/>
        </w:rPr>
        <w:t>系示范名单</w:t>
      </w:r>
      <w:r>
        <w:rPr>
          <w:w w:val="95"/>
        </w:rPr>
        <w:t>（</w:t>
      </w:r>
      <w:r>
        <w:rPr>
          <w:spacing w:val="-5"/>
          <w:w w:val="95"/>
        </w:rPr>
        <w:t>绿色工厂、绿色设计产品等</w:t>
      </w:r>
      <w:r>
        <w:rPr>
          <w:spacing w:val="-27"/>
          <w:w w:val="95"/>
        </w:rPr>
        <w:t>）</w:t>
      </w:r>
      <w:r>
        <w:rPr>
          <w:spacing w:val="-6"/>
          <w:w w:val="95"/>
        </w:rPr>
        <w:t>的企业，给予一次性 </w:t>
      </w:r>
      <w:r>
        <w:rPr>
          <w:spacing w:val="-31"/>
        </w:rPr>
        <w:t>奖励 </w:t>
      </w:r>
      <w:r>
        <w:rPr/>
        <w:t>50</w:t>
      </w:r>
      <w:r>
        <w:rPr>
          <w:spacing w:val="-21"/>
        </w:rPr>
        <w:t> 万元。</w:t>
      </w:r>
    </w:p>
    <w:p>
      <w:pPr>
        <w:pStyle w:val="BodyText"/>
        <w:spacing w:line="331" w:lineRule="auto" w:before="37"/>
        <w:ind w:right="269" w:firstLine="640"/>
        <w:jc w:val="both"/>
      </w:pPr>
      <w:r>
        <w:rPr>
          <w:spacing w:val="-4"/>
        </w:rPr>
        <w:t>对获得广东省清洁生产企业称号的，给予一次性奖励 </w:t>
      </w:r>
      <w:r>
        <w:rPr/>
        <w:t>30</w:t>
      </w:r>
      <w:r>
        <w:rPr>
          <w:spacing w:val="-38"/>
        </w:rPr>
        <w:t> 万</w:t>
      </w:r>
      <w:r>
        <w:rPr/>
        <w:t>元，对通过市级清洁生产企业审核验收的，给予一次性奖励 10 </w:t>
      </w:r>
      <w:r>
        <w:rPr>
          <w:w w:val="95"/>
        </w:rPr>
        <w:t>万元。</w:t>
      </w:r>
    </w:p>
    <w:p>
      <w:pPr>
        <w:pStyle w:val="BodyText"/>
        <w:tabs>
          <w:tab w:pos="3732" w:val="left" w:leader="none"/>
        </w:tabs>
        <w:spacing w:before="40"/>
        <w:ind w:left="2451"/>
        <w:rPr>
          <w:rFonts w:ascii="黑体" w:eastAsia="黑体" w:hint="eastAsia"/>
        </w:rPr>
      </w:pPr>
      <w:r>
        <w:rPr>
          <w:rFonts w:ascii="黑体" w:eastAsia="黑体" w:hint="eastAsia"/>
        </w:rPr>
        <w:t>第六章</w:t>
        <w:tab/>
      </w:r>
      <w:r>
        <w:rPr>
          <w:rFonts w:ascii="黑体" w:eastAsia="黑体" w:hint="eastAsia"/>
          <w:w w:val="95"/>
        </w:rPr>
        <w:t>鼓励企业引进和培养人才</w:t>
      </w:r>
    </w:p>
    <w:p>
      <w:pPr>
        <w:pStyle w:val="BodyText"/>
        <w:spacing w:line="331" w:lineRule="auto" w:before="159"/>
        <w:ind w:right="268" w:firstLine="640"/>
        <w:jc w:val="both"/>
      </w:pPr>
      <w:r>
        <w:rPr>
          <w:rFonts w:ascii="楷体" w:hAnsi="楷体" w:eastAsia="楷体" w:hint="eastAsia"/>
          <w:spacing w:val="1"/>
        </w:rPr>
        <w:t>第三十二条 </w:t>
      </w:r>
      <w:r>
        <w:rPr>
          <w:spacing w:val="-1"/>
        </w:rPr>
        <w:t>鼓励引进高层次人才。按照《关于实施“珠海</w:t>
      </w:r>
      <w:r>
        <w:rPr/>
        <w:t>英才计划”加快集聚新时代创新创业人才的若干措施（</w:t>
      </w:r>
      <w:r>
        <w:rPr>
          <w:spacing w:val="-2"/>
        </w:rPr>
        <w:t>试行</w:t>
      </w:r>
      <w:r>
        <w:rPr>
          <w:spacing w:val="-159"/>
        </w:rPr>
        <w:t>）</w:t>
      </w:r>
      <w:r>
        <w:rPr/>
        <w:t>》或《珠海富山工业园人才住房管理办法（</w:t>
      </w:r>
      <w:r>
        <w:rPr>
          <w:spacing w:val="-2"/>
        </w:rPr>
        <w:t>试行</w:t>
      </w:r>
      <w:r>
        <w:rPr>
          <w:spacing w:val="-156"/>
        </w:rPr>
        <w:t>）</w:t>
      </w:r>
      <w:r>
        <w:rPr/>
        <w:t>》给予高层次人</w:t>
      </w:r>
      <w:r>
        <w:rPr>
          <w:spacing w:val="-10"/>
        </w:rPr>
        <w:t>才住房补贴，或选择购买共有产权房。企业人才可自行选择，政</w:t>
      </w:r>
      <w:r>
        <w:rPr>
          <w:spacing w:val="-14"/>
        </w:rPr>
        <w:t>策不重复享受；购买首套自住住房申请公积金贷款，额度可按全</w:t>
      </w:r>
      <w:r>
        <w:rPr>
          <w:spacing w:val="-14"/>
          <w:w w:val="95"/>
        </w:rPr>
        <w:t>市统一标准放宽。</w:t>
      </w:r>
    </w:p>
    <w:p>
      <w:pPr>
        <w:pStyle w:val="BodyText"/>
        <w:spacing w:line="331" w:lineRule="auto" w:before="37"/>
        <w:ind w:right="261" w:firstLine="640"/>
        <w:jc w:val="both"/>
      </w:pPr>
      <w:r>
        <w:rPr>
          <w:rFonts w:ascii="楷体" w:eastAsia="楷体" w:hint="eastAsia"/>
          <w:spacing w:val="1"/>
        </w:rPr>
        <w:t>第三十三条 </w:t>
      </w:r>
      <w:r>
        <w:rPr/>
        <w:t>鼓励引进创新人才。对新设立博士工作站，一</w:t>
      </w:r>
      <w:r>
        <w:rPr>
          <w:spacing w:val="-17"/>
        </w:rPr>
        <w:t>次性给予 </w:t>
      </w:r>
      <w:r>
        <w:rPr/>
        <w:t>50</w:t>
      </w:r>
      <w:r>
        <w:rPr>
          <w:spacing w:val="-21"/>
        </w:rPr>
        <w:t> 万元建站补贴。新引进 </w:t>
      </w:r>
      <w:r>
        <w:rPr/>
        <w:t>40</w:t>
      </w:r>
      <w:r>
        <w:rPr>
          <w:spacing w:val="-14"/>
        </w:rPr>
        <w:t> 岁以下全日制博士，给予</w:t>
      </w:r>
      <w:r>
        <w:rPr>
          <w:spacing w:val="-33"/>
        </w:rPr>
        <w:t>每人 </w:t>
      </w:r>
      <w:r>
        <w:rPr/>
        <w:t>25</w:t>
      </w:r>
      <w:r>
        <w:rPr>
          <w:spacing w:val="-8"/>
        </w:rPr>
        <w:t> 万元生活补贴。对新设立博士后流动站、工作站、分站</w:t>
      </w:r>
    </w:p>
    <w:p>
      <w:pPr>
        <w:pStyle w:val="BodyText"/>
        <w:spacing w:before="37"/>
      </w:pPr>
      <w:r>
        <w:rPr/>
        <w:t>和创新实践基地，一次性给予最高 100 万元建站补贴，每接收 1</w:t>
      </w:r>
    </w:p>
    <w:p>
      <w:pPr>
        <w:pStyle w:val="BodyText"/>
        <w:spacing w:before="159"/>
      </w:pPr>
      <w:r>
        <w:rPr/>
        <w:t>名博士后给予 5 万元工作津贴。在站博士后每人每年市给予 20</w:t>
      </w:r>
    </w:p>
    <w:p>
      <w:pPr>
        <w:pStyle w:val="BodyText"/>
        <w:spacing w:before="162"/>
      </w:pPr>
      <w:r>
        <w:rPr>
          <w:spacing w:val="-16"/>
        </w:rPr>
        <w:t>万元生活补贴，园区再给予 </w:t>
      </w:r>
      <w:r>
        <w:rPr/>
        <w:t>8</w:t>
      </w:r>
      <w:r>
        <w:rPr>
          <w:spacing w:val="-22"/>
        </w:rPr>
        <w:t> 万元生活补贴，出站博士后留</w:t>
      </w:r>
      <w:r>
        <w:rPr>
          <w:spacing w:val="-3"/>
        </w:rPr>
        <w:t>（</w:t>
      </w:r>
      <w:r>
        <w:rPr/>
        <w:t>来）</w:t>
      </w:r>
    </w:p>
    <w:p>
      <w:pPr>
        <w:spacing w:after="0"/>
        <w:sectPr>
          <w:pgSz w:w="11910" w:h="16840"/>
          <w:pgMar w:header="0" w:footer="874" w:top="1580" w:bottom="1060" w:left="1420" w:right="1260"/>
        </w:sectPr>
      </w:pPr>
    </w:p>
    <w:p>
      <w:pPr>
        <w:pStyle w:val="BodyText"/>
        <w:ind w:left="0"/>
        <w:rPr>
          <w:sz w:val="20"/>
        </w:rPr>
      </w:pPr>
    </w:p>
    <w:p>
      <w:pPr>
        <w:pStyle w:val="BodyText"/>
        <w:spacing w:before="7"/>
        <w:ind w:left="0"/>
        <w:rPr>
          <w:sz w:val="20"/>
        </w:rPr>
      </w:pPr>
    </w:p>
    <w:p>
      <w:pPr>
        <w:pStyle w:val="BodyText"/>
        <w:spacing w:before="1"/>
        <w:jc w:val="both"/>
      </w:pPr>
      <w:r>
        <w:rPr/>
        <w:t>园区工作给予 50 万元住房补贴。</w:t>
      </w:r>
    </w:p>
    <w:p>
      <w:pPr>
        <w:pStyle w:val="BodyText"/>
        <w:spacing w:line="331" w:lineRule="auto" w:before="162"/>
        <w:ind w:right="271" w:firstLine="640"/>
        <w:jc w:val="both"/>
      </w:pPr>
      <w:r>
        <w:rPr>
          <w:spacing w:val="-8"/>
        </w:rPr>
        <w:t>通过全市创新创业大赛评选、专家评审、企业自评相结合的</w:t>
      </w:r>
      <w:r>
        <w:rPr>
          <w:spacing w:val="-12"/>
        </w:rPr>
        <w:t>方式，选拔出的现代产业领域企业技术研发和经营管理类青年优</w:t>
      </w:r>
      <w:r>
        <w:rPr>
          <w:spacing w:val="-20"/>
        </w:rPr>
        <w:t>秀人才，给予每人 </w:t>
      </w:r>
      <w:r>
        <w:rPr/>
        <w:t>20</w:t>
      </w:r>
      <w:r>
        <w:rPr>
          <w:spacing w:val="-15"/>
        </w:rPr>
        <w:t> 万元奖励。</w:t>
      </w:r>
    </w:p>
    <w:p>
      <w:pPr>
        <w:pStyle w:val="BodyText"/>
        <w:spacing w:line="331" w:lineRule="auto" w:before="38"/>
        <w:ind w:right="110" w:firstLine="640"/>
        <w:jc w:val="both"/>
      </w:pPr>
      <w:r>
        <w:rPr>
          <w:spacing w:val="7"/>
        </w:rPr>
        <w:t>对企业新引进</w:t>
      </w:r>
      <w:r>
        <w:rPr/>
        <w:t>45</w:t>
      </w:r>
      <w:r>
        <w:rPr>
          <w:spacing w:val="-9"/>
        </w:rPr>
        <w:t> 周岁以下正高级和</w:t>
      </w:r>
      <w:r>
        <w:rPr/>
        <w:t>40</w:t>
      </w:r>
      <w:r>
        <w:rPr>
          <w:spacing w:val="-14"/>
        </w:rPr>
        <w:t> 周岁以下副高级职称</w:t>
      </w:r>
      <w:r>
        <w:rPr>
          <w:spacing w:val="-18"/>
        </w:rPr>
        <w:t>专业技术人才，分别给予每人 </w:t>
      </w:r>
      <w:r>
        <w:rPr/>
        <w:t>35</w:t>
      </w:r>
      <w:r>
        <w:rPr>
          <w:spacing w:val="-34"/>
        </w:rPr>
        <w:t> 万元和 </w:t>
      </w:r>
      <w:r>
        <w:rPr/>
        <w:t>25</w:t>
      </w:r>
      <w:r>
        <w:rPr>
          <w:spacing w:val="-16"/>
        </w:rPr>
        <w:t> 万元住房补贴。新引</w:t>
      </w:r>
      <w:r>
        <w:rPr>
          <w:spacing w:val="-49"/>
        </w:rPr>
        <w:t>进 </w:t>
      </w:r>
      <w:r>
        <w:rPr/>
        <w:t>35</w:t>
      </w:r>
      <w:r>
        <w:rPr>
          <w:spacing w:val="-12"/>
        </w:rPr>
        <w:t> 周岁以下中级职称专业技术人才和全日制硕士、</w:t>
      </w:r>
      <w:r>
        <w:rPr/>
        <w:t>45</w:t>
      </w:r>
      <w:r>
        <w:rPr>
          <w:spacing w:val="-21"/>
        </w:rPr>
        <w:t> 周岁以</w:t>
      </w:r>
      <w:r>
        <w:rPr>
          <w:spacing w:val="-27"/>
        </w:rPr>
        <w:t>下高级技师每人发放 </w:t>
      </w:r>
      <w:r>
        <w:rPr/>
        <w:t>3.8</w:t>
      </w:r>
      <w:r>
        <w:rPr>
          <w:spacing w:val="-37"/>
        </w:rPr>
        <w:t> 万元；新引进 </w:t>
      </w:r>
      <w:r>
        <w:rPr/>
        <w:t>30</w:t>
      </w:r>
      <w:r>
        <w:rPr>
          <w:spacing w:val="-10"/>
        </w:rPr>
        <w:t> 周岁以下全日制本科、</w:t>
      </w:r>
    </w:p>
    <w:p>
      <w:pPr>
        <w:pStyle w:val="BodyText"/>
        <w:spacing w:line="331" w:lineRule="auto" w:before="38"/>
        <w:ind w:right="270"/>
        <w:jc w:val="both"/>
      </w:pPr>
      <w:r>
        <w:rPr/>
        <w:t>40</w:t>
      </w:r>
      <w:r>
        <w:rPr>
          <w:spacing w:val="-12"/>
        </w:rPr>
        <w:t> 周岁以下技师每人发放 </w:t>
      </w:r>
      <w:r>
        <w:rPr/>
        <w:t>2.6</w:t>
      </w:r>
      <w:r>
        <w:rPr>
          <w:spacing w:val="-5"/>
        </w:rPr>
        <w:t> 万元。对毕业三年内拟来园区发</w:t>
      </w:r>
      <w:r>
        <w:rPr>
          <w:spacing w:val="-12"/>
        </w:rPr>
        <w:t>展的全日制本科以上学历人员，可先落户后就业，凭毕业证和相</w:t>
      </w:r>
      <w:r>
        <w:rPr>
          <w:spacing w:val="-12"/>
          <w:w w:val="95"/>
        </w:rPr>
        <w:t>关资料即可申请落户。</w:t>
      </w:r>
    </w:p>
    <w:p>
      <w:pPr>
        <w:pStyle w:val="BodyText"/>
        <w:spacing w:line="331" w:lineRule="auto" w:before="38"/>
        <w:ind w:right="268" w:firstLine="640"/>
        <w:jc w:val="both"/>
      </w:pPr>
      <w:r>
        <w:rPr>
          <w:rFonts w:ascii="楷体" w:eastAsia="楷体" w:hint="eastAsia"/>
          <w:spacing w:val="1"/>
        </w:rPr>
        <w:t>第三十四条 </w:t>
      </w:r>
      <w:r>
        <w:rPr/>
        <w:t>支持企业培养人才。规模以上企业员工参加职</w:t>
      </w:r>
      <w:r>
        <w:rPr>
          <w:spacing w:val="-11"/>
        </w:rPr>
        <w:t>业技能培训教育，获得国家人力资源部门认可证书的，园区按照</w:t>
      </w:r>
      <w:r>
        <w:rPr>
          <w:spacing w:val="-17"/>
        </w:rPr>
        <w:t>企业负担学习培训费用的 </w:t>
      </w:r>
      <w:r>
        <w:rPr/>
        <w:t>50</w:t>
      </w:r>
      <w:r>
        <w:rPr>
          <w:spacing w:val="-17"/>
        </w:rPr>
        <w:t>%给予补贴，单个企业每年不超过 </w:t>
      </w:r>
      <w:r>
        <w:rPr/>
        <w:t>20 </w:t>
      </w:r>
      <w:r>
        <w:rPr>
          <w:w w:val="95"/>
        </w:rPr>
        <w:t>万元。</w:t>
      </w:r>
    </w:p>
    <w:p>
      <w:pPr>
        <w:pStyle w:val="BodyText"/>
        <w:spacing w:line="331" w:lineRule="auto" w:before="38"/>
        <w:ind w:right="140" w:firstLine="640"/>
      </w:pPr>
      <w:r>
        <w:rPr>
          <w:rFonts w:ascii="楷体" w:hAnsi="楷体" w:eastAsia="楷体" w:hint="eastAsia"/>
          <w:spacing w:val="0"/>
        </w:rPr>
        <w:t>第三十五条 </w:t>
      </w:r>
      <w:r>
        <w:rPr>
          <w:spacing w:val="-1"/>
        </w:rPr>
        <w:t>鼓励大型企业开展内部优秀人才评选。对年度</w:t>
      </w:r>
      <w:r>
        <w:rPr>
          <w:spacing w:val="-10"/>
        </w:rPr>
        <w:t>产值或营业收入超过 </w:t>
      </w:r>
      <w:r>
        <w:rPr/>
        <w:t>50</w:t>
      </w:r>
      <w:r>
        <w:rPr>
          <w:spacing w:val="-15"/>
        </w:rPr>
        <w:t> 亿元的企业或集团，可按照“一事一议” </w:t>
      </w:r>
      <w:r>
        <w:rPr>
          <w:spacing w:val="-3"/>
        </w:rPr>
        <w:t>方式给予优秀人才奖励。其中，超过 </w:t>
      </w:r>
      <w:r>
        <w:rPr/>
        <w:t>50</w:t>
      </w:r>
      <w:r>
        <w:rPr>
          <w:spacing w:val="-15"/>
        </w:rPr>
        <w:t> 亿元企业给予最高 </w:t>
      </w:r>
      <w:r>
        <w:rPr/>
        <w:t>500 </w:t>
      </w:r>
      <w:r>
        <w:rPr>
          <w:spacing w:val="-11"/>
        </w:rPr>
        <w:t>万元奖励，超过 </w:t>
      </w:r>
      <w:r>
        <w:rPr/>
        <w:t>100</w:t>
      </w:r>
      <w:r>
        <w:rPr>
          <w:spacing w:val="-18"/>
        </w:rPr>
        <w:t> 亿元企业给予最高 </w:t>
      </w:r>
      <w:r>
        <w:rPr/>
        <w:t>1000</w:t>
      </w:r>
      <w:r>
        <w:rPr>
          <w:spacing w:val="-15"/>
        </w:rPr>
        <w:t> 万元奖励。</w:t>
      </w:r>
    </w:p>
    <w:p>
      <w:pPr>
        <w:pStyle w:val="BodyText"/>
        <w:spacing w:line="331" w:lineRule="auto" w:before="37"/>
        <w:ind w:right="270" w:firstLine="640"/>
        <w:jc w:val="both"/>
      </w:pPr>
      <w:r>
        <w:rPr>
          <w:rFonts w:ascii="楷体" w:eastAsia="楷体" w:hint="eastAsia"/>
          <w:spacing w:val="0"/>
        </w:rPr>
        <w:t>第三十六条 </w:t>
      </w:r>
      <w:r>
        <w:rPr>
          <w:spacing w:val="-1"/>
        </w:rPr>
        <w:t>解决重点企业员工子女就学需求。对园区规上</w:t>
      </w:r>
      <w:r>
        <w:rPr>
          <w:spacing w:val="-8"/>
        </w:rPr>
        <w:t>企业高管和技术骨干的非珠海籍子女，按不动产登记或广东省居</w:t>
      </w:r>
      <w:r>
        <w:rPr>
          <w:spacing w:val="-13"/>
          <w:w w:val="95"/>
        </w:rPr>
        <w:t>住证的证件所在地申请就读斗门区义务教育阶段学校</w:t>
      </w:r>
      <w:r>
        <w:rPr>
          <w:w w:val="95"/>
        </w:rPr>
        <w:t>（含起始年</w:t>
      </w:r>
    </w:p>
    <w:p>
      <w:pPr>
        <w:spacing w:after="0" w:line="331" w:lineRule="auto"/>
        <w:jc w:val="both"/>
        <w:sectPr>
          <w:pgSz w:w="11910" w:h="16840"/>
          <w:pgMar w:header="0" w:footer="874" w:top="1580" w:bottom="1060" w:left="1420" w:right="1260"/>
        </w:sectPr>
      </w:pPr>
    </w:p>
    <w:p>
      <w:pPr>
        <w:pStyle w:val="BodyText"/>
        <w:ind w:left="0"/>
        <w:rPr>
          <w:sz w:val="20"/>
        </w:rPr>
      </w:pPr>
    </w:p>
    <w:p>
      <w:pPr>
        <w:pStyle w:val="BodyText"/>
        <w:spacing w:before="7"/>
        <w:ind w:left="0"/>
        <w:rPr>
          <w:sz w:val="20"/>
        </w:rPr>
      </w:pPr>
    </w:p>
    <w:p>
      <w:pPr>
        <w:pStyle w:val="BodyText"/>
        <w:spacing w:line="333" w:lineRule="auto" w:before="1"/>
        <w:ind w:right="102"/>
      </w:pPr>
      <w:r>
        <w:rPr>
          <w:w w:val="99"/>
        </w:rPr>
        <w:t>级和非起始年级</w:t>
      </w:r>
      <w:r>
        <w:rPr>
          <w:spacing w:val="-156"/>
          <w:w w:val="99"/>
        </w:rPr>
        <w:t>）</w:t>
      </w:r>
      <w:r>
        <w:rPr>
          <w:w w:val="99"/>
        </w:rPr>
        <w:t>，经审核通过后，根据当年招生学位的情况，</w:t>
      </w:r>
      <w:r>
        <w:rPr>
          <w:w w:val="95"/>
        </w:rPr>
        <w:t>协助安排到公办学校就读。</w:t>
      </w:r>
    </w:p>
    <w:p>
      <w:pPr>
        <w:pStyle w:val="BodyText"/>
        <w:spacing w:line="331" w:lineRule="auto" w:before="34"/>
        <w:ind w:right="102" w:firstLine="640"/>
      </w:pPr>
      <w:r>
        <w:rPr>
          <w:rFonts w:ascii="楷体" w:eastAsia="楷体" w:hint="eastAsia"/>
          <w:spacing w:val="-1"/>
        </w:rPr>
        <w:t>第三十七条 </w:t>
      </w:r>
      <w:r>
        <w:rPr>
          <w:spacing w:val="-14"/>
        </w:rPr>
        <w:t>加大重点用工企业服务力度。用工量 </w:t>
      </w:r>
      <w:r>
        <w:rPr/>
        <w:t>2000</w:t>
      </w:r>
      <w:r>
        <w:rPr>
          <w:spacing w:val="-28"/>
        </w:rPr>
        <w:t> 人以</w:t>
      </w:r>
      <w:r>
        <w:rPr>
          <w:spacing w:val="-34"/>
        </w:rPr>
        <w:t>上或一次性新增用工 </w:t>
      </w:r>
      <w:r>
        <w:rPr/>
        <w:t>500</w:t>
      </w:r>
      <w:r>
        <w:rPr>
          <w:spacing w:val="-15"/>
        </w:rPr>
        <w:t> 人以上的重点用工企业，由富山工业园管委会设立就业服务专员，全程提供用工政策对接和协调服务。</w:t>
      </w:r>
      <w:r>
        <w:rPr>
          <w:spacing w:val="-20"/>
        </w:rPr>
        <w:t>人力资源服务机构为重点用工企业介绍员工，稳定就业并参加社</w:t>
      </w:r>
      <w:r>
        <w:rPr>
          <w:spacing w:val="-35"/>
        </w:rPr>
        <w:t>会保险 </w:t>
      </w:r>
      <w:r>
        <w:rPr/>
        <w:t>6</w:t>
      </w:r>
      <w:r>
        <w:rPr>
          <w:spacing w:val="-19"/>
        </w:rPr>
        <w:t> 个月以上的，由就业补助资金按每人 </w:t>
      </w:r>
      <w:r>
        <w:rPr/>
        <w:t>400</w:t>
      </w:r>
      <w:r>
        <w:rPr>
          <w:spacing w:val="-13"/>
        </w:rPr>
        <w:t> 元给予职业介</w:t>
      </w:r>
      <w:r>
        <w:rPr>
          <w:spacing w:val="-13"/>
          <w:w w:val="95"/>
        </w:rPr>
        <w:t>绍补贴。</w:t>
      </w:r>
    </w:p>
    <w:p>
      <w:pPr>
        <w:pStyle w:val="BodyText"/>
        <w:spacing w:line="333" w:lineRule="auto" w:before="37"/>
        <w:ind w:right="102" w:firstLine="640"/>
      </w:pPr>
      <w:r>
        <w:rPr>
          <w:rFonts w:ascii="楷体" w:eastAsia="楷体" w:hint="eastAsia"/>
        </w:rPr>
        <w:t>第三十八条 </w:t>
      </w:r>
      <w:r>
        <w:rPr>
          <w:spacing w:val="-5"/>
        </w:rPr>
        <w:t>积极支持中小微企业吸纳就业。登记注册 </w:t>
      </w:r>
      <w:r>
        <w:rPr/>
        <w:t>3</w:t>
      </w:r>
      <w:r>
        <w:rPr>
          <w:spacing w:val="-39"/>
        </w:rPr>
        <w:t> 年</w:t>
      </w:r>
      <w:r>
        <w:rPr>
          <w:spacing w:val="-23"/>
        </w:rPr>
        <w:t>内的初创企业，按其吸纳就业人数给予带动就业补贴，招用 </w:t>
      </w:r>
      <w:r>
        <w:rPr/>
        <w:t>3</w:t>
      </w:r>
      <w:r>
        <w:rPr>
          <w:spacing w:val="-43"/>
        </w:rPr>
        <w:t> 人</w:t>
      </w:r>
    </w:p>
    <w:p>
      <w:pPr>
        <w:pStyle w:val="BodyText"/>
        <w:spacing w:before="34"/>
      </w:pPr>
      <w:r>
        <w:rPr/>
        <w:t>（</w:t>
      </w:r>
      <w:r>
        <w:rPr>
          <w:spacing w:val="-38"/>
        </w:rPr>
        <w:t>含 </w:t>
      </w:r>
      <w:r>
        <w:rPr/>
        <w:t>3</w:t>
      </w:r>
      <w:r>
        <w:rPr>
          <w:spacing w:val="-39"/>
        </w:rPr>
        <w:t> 人</w:t>
      </w:r>
      <w:r>
        <w:rPr/>
        <w:t>）</w:t>
      </w:r>
      <w:r>
        <w:rPr>
          <w:spacing w:val="-12"/>
        </w:rPr>
        <w:t>以下的按每人 </w:t>
      </w:r>
      <w:r>
        <w:rPr/>
        <w:t>2000</w:t>
      </w:r>
      <w:r>
        <w:rPr>
          <w:spacing w:val="-16"/>
        </w:rPr>
        <w:t> 元给予补贴，招用 </w:t>
      </w:r>
      <w:r>
        <w:rPr/>
        <w:t>3</w:t>
      </w:r>
      <w:r>
        <w:rPr>
          <w:spacing w:val="-14"/>
        </w:rPr>
        <w:t> 人以上的每</w:t>
      </w:r>
    </w:p>
    <w:p>
      <w:pPr>
        <w:pStyle w:val="BodyText"/>
        <w:spacing w:before="159"/>
      </w:pPr>
      <w:r>
        <w:rPr/>
        <w:t>增加 1 人给予 3000 元补贴，补贴总额不超过 3 万元。</w:t>
      </w:r>
    </w:p>
    <w:p>
      <w:pPr>
        <w:pStyle w:val="BodyText"/>
        <w:tabs>
          <w:tab w:pos="4531" w:val="left" w:leader="none"/>
        </w:tabs>
        <w:spacing w:before="159"/>
        <w:ind w:left="3252"/>
        <w:rPr>
          <w:rFonts w:ascii="黑体" w:eastAsia="黑体" w:hint="eastAsia"/>
        </w:rPr>
      </w:pPr>
      <w:r>
        <w:rPr>
          <w:rFonts w:ascii="黑体" w:eastAsia="黑体" w:hint="eastAsia"/>
        </w:rPr>
        <w:t>第七章</w:t>
        <w:tab/>
      </w:r>
      <w:r>
        <w:rPr>
          <w:rFonts w:ascii="黑体" w:eastAsia="黑体" w:hint="eastAsia"/>
          <w:w w:val="95"/>
        </w:rPr>
        <w:t>加强金融服务</w:t>
      </w:r>
    </w:p>
    <w:p>
      <w:pPr>
        <w:pStyle w:val="BodyText"/>
        <w:spacing w:line="331" w:lineRule="auto" w:before="161"/>
        <w:ind w:right="228" w:firstLine="640"/>
        <w:jc w:val="both"/>
      </w:pPr>
      <w:r>
        <w:rPr>
          <w:rFonts w:ascii="楷体" w:eastAsia="楷体" w:hint="eastAsia"/>
          <w:spacing w:val="1"/>
        </w:rPr>
        <w:t>第三十九条 </w:t>
      </w:r>
      <w:r>
        <w:rPr/>
        <w:t>鼓励企业上市融资。对在主板、中小板、创业</w:t>
      </w:r>
      <w:r>
        <w:rPr>
          <w:spacing w:val="-11"/>
        </w:rPr>
        <w:t>板、新三板或科创板成功上市的企业，以及从区外迁入本园区或</w:t>
      </w:r>
      <w:r>
        <w:rPr>
          <w:spacing w:val="-17"/>
        </w:rPr>
        <w:t>异地收购上市公司迁回本园区的企业，园区财政按市奖励资金给</w:t>
      </w:r>
      <w:r>
        <w:rPr>
          <w:spacing w:val="-50"/>
        </w:rPr>
        <w:t>予 </w:t>
      </w:r>
      <w:r>
        <w:rPr/>
        <w:t>1：1</w:t>
      </w:r>
      <w:r>
        <w:rPr>
          <w:spacing w:val="-15"/>
        </w:rPr>
        <w:t> 配套奖励。</w:t>
      </w:r>
    </w:p>
    <w:p>
      <w:pPr>
        <w:pStyle w:val="BodyText"/>
        <w:spacing w:line="331" w:lineRule="auto" w:before="40"/>
        <w:ind w:right="102" w:firstLine="640"/>
      </w:pPr>
      <w:r>
        <w:rPr>
          <w:rFonts w:ascii="楷体" w:eastAsia="楷体" w:hint="eastAsia"/>
          <w:spacing w:val="0"/>
        </w:rPr>
        <w:t>第四十条 </w:t>
      </w:r>
      <w:r>
        <w:rPr/>
        <w:t>鼓励企业知识产权质押融资。对于中小微企业以知识产权质押方式向金融机构贷款所产生的利息及评估（评价） </w:t>
      </w:r>
      <w:r>
        <w:rPr>
          <w:spacing w:val="-12"/>
        </w:rPr>
        <w:t>费、担保费、保险费等费用，在企业知识产权质押贷款还款结束</w:t>
      </w:r>
      <w:r>
        <w:rPr>
          <w:spacing w:val="-16"/>
        </w:rPr>
        <w:t>后给予一次性核拨，按实际发生的正常利息费用 </w:t>
      </w:r>
      <w:r>
        <w:rPr/>
        <w:t>50%予以补贴， </w:t>
      </w:r>
      <w:r>
        <w:rPr>
          <w:spacing w:val="-5"/>
        </w:rPr>
        <w:t>单个企业年度内申请补贴资金累计不超过 </w:t>
      </w:r>
      <w:r>
        <w:rPr/>
        <w:t>30</w:t>
      </w:r>
      <w:r>
        <w:rPr>
          <w:spacing w:val="-21"/>
        </w:rPr>
        <w:t> 万元。</w:t>
      </w:r>
    </w:p>
    <w:p>
      <w:pPr>
        <w:spacing w:after="0" w:line="331" w:lineRule="auto"/>
        <w:sectPr>
          <w:pgSz w:w="11910" w:h="16840"/>
          <w:pgMar w:header="0" w:footer="874" w:top="1580" w:bottom="1060" w:left="1420" w:right="1300"/>
        </w:sectPr>
      </w:pPr>
    </w:p>
    <w:p>
      <w:pPr>
        <w:pStyle w:val="BodyText"/>
        <w:ind w:left="0"/>
        <w:rPr>
          <w:sz w:val="20"/>
        </w:rPr>
      </w:pPr>
    </w:p>
    <w:p>
      <w:pPr>
        <w:pStyle w:val="BodyText"/>
        <w:spacing w:before="7"/>
        <w:ind w:left="0"/>
        <w:rPr>
          <w:sz w:val="20"/>
        </w:rPr>
      </w:pPr>
    </w:p>
    <w:p>
      <w:pPr>
        <w:pStyle w:val="BodyText"/>
        <w:spacing w:line="331" w:lineRule="auto" w:before="1"/>
        <w:ind w:right="268" w:firstLine="640"/>
        <w:jc w:val="both"/>
      </w:pPr>
      <w:r>
        <w:rPr>
          <w:rFonts w:ascii="楷体" w:eastAsia="楷体" w:hint="eastAsia"/>
          <w:spacing w:val="1"/>
        </w:rPr>
        <w:t>第四十一条 </w:t>
      </w:r>
      <w:r>
        <w:rPr/>
        <w:t>鼓励金融机构落户。对新设或引进的市认定的</w:t>
      </w:r>
      <w:r>
        <w:rPr>
          <w:spacing w:val="-11"/>
        </w:rPr>
        <w:t>第一类、第二类、第三类金融机构，按其注册资本金实际到位额</w:t>
      </w:r>
      <w:r>
        <w:rPr>
          <w:spacing w:val="-35"/>
        </w:rPr>
        <w:t>度的 </w:t>
      </w:r>
      <w:r>
        <w:rPr/>
        <w:t>1%</w:t>
      </w:r>
      <w:r>
        <w:rPr>
          <w:spacing w:val="-8"/>
        </w:rPr>
        <w:t>给予，最高奖励人民币 </w:t>
      </w:r>
      <w:r>
        <w:rPr/>
        <w:t>1000</w:t>
      </w:r>
      <w:r>
        <w:rPr>
          <w:spacing w:val="-21"/>
        </w:rPr>
        <w:t> 万元。</w:t>
      </w:r>
    </w:p>
    <w:p>
      <w:pPr>
        <w:pStyle w:val="BodyText"/>
        <w:spacing w:line="331" w:lineRule="auto" w:before="37"/>
        <w:ind w:right="140" w:firstLine="640"/>
      </w:pPr>
      <w:r>
        <w:rPr>
          <w:rFonts w:ascii="楷体" w:eastAsia="楷体" w:hint="eastAsia"/>
        </w:rPr>
        <w:t>第四十二条 </w:t>
      </w:r>
      <w:r>
        <w:rPr/>
        <w:t>支持企业投保出口信用保险。对企业投保出口</w:t>
      </w:r>
      <w:r>
        <w:rPr>
          <w:w w:val="95"/>
        </w:rPr>
        <w:t>信用保险平台内特定产品，给予企业投保的实际缴纳保险费最高</w:t>
      </w:r>
    </w:p>
    <w:p>
      <w:pPr>
        <w:pStyle w:val="BodyText"/>
        <w:spacing w:before="39"/>
      </w:pPr>
      <w:r>
        <w:rPr>
          <w:w w:val="95"/>
        </w:rPr>
        <w:t>100%的资金支持。</w:t>
      </w:r>
    </w:p>
    <w:p>
      <w:pPr>
        <w:pStyle w:val="BodyText"/>
        <w:tabs>
          <w:tab w:pos="3891" w:val="left" w:leader="none"/>
        </w:tabs>
        <w:spacing w:before="159"/>
        <w:ind w:left="2611"/>
        <w:rPr>
          <w:rFonts w:ascii="黑体" w:eastAsia="黑体" w:hint="eastAsia"/>
        </w:rPr>
      </w:pPr>
      <w:r>
        <w:rPr>
          <w:rFonts w:ascii="黑体" w:eastAsia="黑体" w:hint="eastAsia"/>
        </w:rPr>
        <w:t>第八章</w:t>
        <w:tab/>
      </w:r>
      <w:r>
        <w:rPr>
          <w:rFonts w:ascii="黑体" w:eastAsia="黑体" w:hint="eastAsia"/>
          <w:w w:val="95"/>
        </w:rPr>
        <w:t>加强园区营商环境建设</w:t>
      </w:r>
    </w:p>
    <w:p>
      <w:pPr>
        <w:pStyle w:val="BodyText"/>
        <w:spacing w:line="331" w:lineRule="auto" w:before="159"/>
        <w:ind w:right="140" w:firstLine="640"/>
      </w:pPr>
      <w:r>
        <w:rPr>
          <w:rFonts w:ascii="楷体" w:eastAsia="楷体" w:hint="eastAsia"/>
          <w:spacing w:val="-1"/>
        </w:rPr>
        <w:t>第四十三条 </w:t>
      </w:r>
      <w:r>
        <w:rPr>
          <w:spacing w:val="-11"/>
        </w:rPr>
        <w:t>支持本地配套采购。完善园区产业上下游链条， </w:t>
      </w:r>
      <w:r>
        <w:rPr>
          <w:spacing w:val="-16"/>
        </w:rPr>
        <w:t>鼓励园区企业采购本园区非关联企业主营产品，对年度采购金额</w:t>
      </w:r>
      <w:r>
        <w:rPr>
          <w:spacing w:val="-25"/>
        </w:rPr>
        <w:t>超过 </w:t>
      </w:r>
      <w:r>
        <w:rPr/>
        <w:t>50</w:t>
      </w:r>
      <w:r>
        <w:rPr>
          <w:spacing w:val="-8"/>
        </w:rPr>
        <w:t> 万元的企业给予奖励。其中，生产设备最高奖励 </w:t>
      </w:r>
      <w:r>
        <w:rPr/>
        <w:t>10%， </w:t>
      </w:r>
      <w:r>
        <w:rPr>
          <w:spacing w:val="-2"/>
        </w:rPr>
        <w:t>其他辅助产品最高奖励 </w:t>
      </w:r>
      <w:r>
        <w:rPr>
          <w:spacing w:val="5"/>
        </w:rPr>
        <w:t>3</w:t>
      </w:r>
      <w:r>
        <w:rPr>
          <w:spacing w:val="-1"/>
        </w:rPr>
        <w:t>%，单个企业每年奖励资金不超过 </w:t>
      </w:r>
      <w:r>
        <w:rPr/>
        <w:t>100 </w:t>
      </w:r>
      <w:r>
        <w:rPr>
          <w:w w:val="95"/>
        </w:rPr>
        <w:t>万元。</w:t>
      </w:r>
    </w:p>
    <w:p>
      <w:pPr>
        <w:pStyle w:val="BodyText"/>
        <w:spacing w:line="331" w:lineRule="auto" w:before="37"/>
        <w:ind w:right="140" w:firstLine="640"/>
      </w:pPr>
      <w:r>
        <w:rPr>
          <w:rFonts w:ascii="楷体" w:hAnsi="楷体" w:eastAsia="楷体" w:hint="eastAsia"/>
          <w:spacing w:val="0"/>
        </w:rPr>
        <w:t>第四十四条 </w:t>
      </w:r>
      <w:r>
        <w:rPr>
          <w:spacing w:val="-1"/>
        </w:rPr>
        <w:t>支持企业参加商贸交流活动。对参加市及以上</w:t>
      </w:r>
      <w:r>
        <w:rPr>
          <w:spacing w:val="5"/>
        </w:rPr>
        <w:t>政府或商务主管部门组织的境内外招商引资活动的企业给予支</w:t>
      </w:r>
      <w:r>
        <w:rPr>
          <w:spacing w:val="-11"/>
        </w:rPr>
        <w:t>持。参加“一带一路”沿线国家贸易促进活动的给予实际发生参团费用最高80%的支持，其他国家（地区）给予最高50%的支持， </w:t>
      </w:r>
      <w:r>
        <w:rPr>
          <w:spacing w:val="-3"/>
        </w:rPr>
        <w:t>每家企业每次活动资助人数不超过</w:t>
      </w:r>
      <w:r>
        <w:rPr/>
        <w:t>2人。鼓励园区龙头企业、行</w:t>
      </w:r>
      <w:r>
        <w:rPr>
          <w:spacing w:val="-10"/>
        </w:rPr>
        <w:t>业协会、中介机构等举办产业峰会、产业论坛、企业年会等“以</w:t>
      </w:r>
      <w:r>
        <w:rPr>
          <w:spacing w:val="-4"/>
        </w:rPr>
        <w:t>商引商”经贸活动，经认定给予实际发生费用</w:t>
      </w:r>
      <w:r>
        <w:rPr/>
        <w:t>50%的支持，单场</w:t>
      </w:r>
      <w:r>
        <w:rPr>
          <w:w w:val="95"/>
        </w:rPr>
        <w:t>活动最高支持100万元。</w:t>
      </w:r>
    </w:p>
    <w:p>
      <w:pPr>
        <w:pStyle w:val="BodyText"/>
        <w:spacing w:line="333" w:lineRule="auto" w:before="37"/>
        <w:ind w:right="140" w:firstLine="640"/>
      </w:pPr>
      <w:r>
        <w:rPr>
          <w:rFonts w:ascii="楷体" w:eastAsia="楷体" w:hint="eastAsia"/>
        </w:rPr>
        <w:t>第四十五条 </w:t>
      </w:r>
      <w:r>
        <w:rPr/>
        <w:t>鼓励企业购买安全生产责任保险。对园区购买</w:t>
      </w:r>
      <w:r>
        <w:rPr>
          <w:w w:val="95"/>
        </w:rPr>
        <w:t>了安全生产责任保险的企业，按照《富山工业园安全生产责任保</w:t>
      </w:r>
    </w:p>
    <w:p>
      <w:pPr>
        <w:spacing w:after="0" w:line="333" w:lineRule="auto"/>
        <w:sectPr>
          <w:pgSz w:w="11910" w:h="16840"/>
          <w:pgMar w:header="0" w:footer="874" w:top="1580" w:bottom="1060" w:left="1420" w:right="1260"/>
        </w:sectPr>
      </w:pPr>
    </w:p>
    <w:p>
      <w:pPr>
        <w:pStyle w:val="BodyText"/>
        <w:ind w:left="0"/>
        <w:rPr>
          <w:sz w:val="20"/>
        </w:rPr>
      </w:pPr>
    </w:p>
    <w:p>
      <w:pPr>
        <w:pStyle w:val="BodyText"/>
        <w:spacing w:before="7"/>
        <w:ind w:left="0"/>
        <w:rPr>
          <w:sz w:val="20"/>
        </w:rPr>
      </w:pPr>
    </w:p>
    <w:p>
      <w:pPr>
        <w:pStyle w:val="BodyText"/>
        <w:spacing w:line="333" w:lineRule="auto" w:before="1"/>
      </w:pPr>
      <w:r>
        <w:rPr>
          <w:spacing w:val="-8"/>
        </w:rPr>
        <w:t>险财政补贴资金管理实施细则》进行补贴，单个企业每个保险期</w:t>
      </w:r>
      <w:r>
        <w:rPr>
          <w:spacing w:val="-8"/>
          <w:w w:val="95"/>
        </w:rPr>
        <w:t>内享受的保费补贴最高20万元。</w:t>
      </w:r>
    </w:p>
    <w:p>
      <w:pPr>
        <w:pStyle w:val="BodyText"/>
        <w:spacing w:line="331" w:lineRule="auto" w:before="34"/>
        <w:ind w:right="103" w:firstLine="640"/>
        <w:jc w:val="both"/>
      </w:pPr>
      <w:r>
        <w:rPr>
          <w:rFonts w:ascii="楷体" w:eastAsia="楷体" w:hint="eastAsia"/>
          <w:spacing w:val="0"/>
        </w:rPr>
        <w:t>第四十六条 </w:t>
      </w:r>
      <w:r>
        <w:rPr>
          <w:spacing w:val="-1"/>
        </w:rPr>
        <w:t>鼓励企业主动创建安全生产标准化体系。对首</w:t>
      </w:r>
      <w:r>
        <w:rPr>
          <w:spacing w:val="-10"/>
        </w:rPr>
        <w:t>次创建经评审通过并取得三级、二级、一级安全生产标准化证书</w:t>
      </w:r>
      <w:r>
        <w:rPr>
          <w:spacing w:val="-4"/>
        </w:rPr>
        <w:t>的企业分别奖励</w:t>
      </w:r>
      <w:r>
        <w:rPr/>
        <w:t>0.5万元、1.5</w:t>
      </w:r>
      <w:r>
        <w:rPr>
          <w:spacing w:val="0"/>
        </w:rPr>
        <w:t>万元、</w:t>
      </w:r>
      <w:r>
        <w:rPr/>
        <w:t>3万元；证书到期换证，经</w:t>
      </w:r>
      <w:r>
        <w:rPr>
          <w:spacing w:val="-12"/>
        </w:rPr>
        <w:t>评审通过取得三级、二级、一级安全生产标准化证书的企业分别奖励0.3万元、1万元、2</w:t>
      </w:r>
      <w:r>
        <w:rPr>
          <w:spacing w:val="-4"/>
        </w:rPr>
        <w:t>万元。经国家机构评审创建成功安全文</w:t>
      </w:r>
      <w:r>
        <w:rPr>
          <w:spacing w:val="-4"/>
          <w:w w:val="95"/>
        </w:rPr>
        <w:t>化企业的一次性奖励10万元。</w:t>
      </w:r>
    </w:p>
    <w:p>
      <w:pPr>
        <w:pStyle w:val="BodyText"/>
        <w:tabs>
          <w:tab w:pos="1917" w:val="left" w:leader="none"/>
        </w:tabs>
        <w:spacing w:before="37"/>
        <w:ind w:left="636"/>
        <w:jc w:val="center"/>
        <w:rPr>
          <w:rFonts w:ascii="黑体" w:eastAsia="黑体" w:hint="eastAsia"/>
        </w:rPr>
      </w:pPr>
      <w:r>
        <w:rPr>
          <w:rFonts w:ascii="黑体" w:eastAsia="黑体" w:hint="eastAsia"/>
        </w:rPr>
        <w:t>第九章</w:t>
        <w:tab/>
      </w:r>
      <w:r>
        <w:rPr>
          <w:rFonts w:ascii="黑体" w:eastAsia="黑体" w:hint="eastAsia"/>
          <w:w w:val="95"/>
        </w:rPr>
        <w:t>其他</w:t>
      </w:r>
    </w:p>
    <w:p>
      <w:pPr>
        <w:pStyle w:val="BodyText"/>
        <w:spacing w:line="331" w:lineRule="auto" w:before="161"/>
        <w:ind w:right="103" w:firstLine="640"/>
        <w:jc w:val="both"/>
      </w:pPr>
      <w:r>
        <w:rPr>
          <w:rFonts w:ascii="楷体" w:hAnsi="楷体" w:eastAsia="楷体" w:hint="eastAsia"/>
          <w:spacing w:val="1"/>
        </w:rPr>
        <w:t>第四十七条 </w:t>
      </w:r>
      <w:r>
        <w:rPr/>
        <w:t>支持重大项目开展。对园区重点发展的主导产</w:t>
      </w:r>
      <w:r>
        <w:rPr>
          <w:spacing w:val="5"/>
        </w:rPr>
        <w:t>业、以及对园区实体经济发展具有重大带动作用的重点产业项</w:t>
      </w:r>
      <w:r>
        <w:rPr>
          <w:spacing w:val="-12"/>
        </w:rPr>
        <w:t>目、新引进的重大新型研发机构、重大淘汰落后产能项目等项目</w:t>
      </w:r>
      <w:r>
        <w:rPr>
          <w:spacing w:val="-16"/>
        </w:rPr>
        <w:t>实施更大力度的政策扶持，采取“一事一议、一企一策”扶持方</w:t>
      </w:r>
      <w:r>
        <w:rPr>
          <w:spacing w:val="-16"/>
          <w:w w:val="95"/>
        </w:rPr>
        <w:t>式</w:t>
      </w:r>
      <w:r>
        <w:rPr>
          <w:b/>
          <w:spacing w:val="-16"/>
          <w:w w:val="95"/>
        </w:rPr>
        <w:t>，</w:t>
      </w:r>
      <w:r>
        <w:rPr>
          <w:spacing w:val="-14"/>
          <w:w w:val="95"/>
        </w:rPr>
        <w:t>扶持资金由园区财政另行安排。</w:t>
      </w:r>
    </w:p>
    <w:p>
      <w:pPr>
        <w:pStyle w:val="BodyText"/>
        <w:tabs>
          <w:tab w:pos="1917" w:val="left" w:leader="none"/>
        </w:tabs>
        <w:spacing w:before="37"/>
        <w:ind w:left="636"/>
        <w:jc w:val="center"/>
        <w:rPr>
          <w:rFonts w:ascii="黑体" w:eastAsia="黑体" w:hint="eastAsia"/>
        </w:rPr>
      </w:pPr>
      <w:r>
        <w:rPr>
          <w:rFonts w:ascii="黑体" w:eastAsia="黑体" w:hint="eastAsia"/>
        </w:rPr>
        <w:t>第十章</w:t>
        <w:tab/>
      </w:r>
      <w:r>
        <w:rPr>
          <w:rFonts w:ascii="黑体" w:eastAsia="黑体" w:hint="eastAsia"/>
          <w:w w:val="95"/>
        </w:rPr>
        <w:t>附则</w:t>
      </w:r>
    </w:p>
    <w:p>
      <w:pPr>
        <w:pStyle w:val="BodyText"/>
        <w:spacing w:line="331" w:lineRule="auto" w:before="159"/>
        <w:ind w:right="106" w:firstLine="640"/>
        <w:jc w:val="both"/>
      </w:pPr>
      <w:r>
        <w:rPr>
          <w:rFonts w:ascii="楷体" w:eastAsia="楷体" w:hint="eastAsia"/>
          <w:spacing w:val="1"/>
        </w:rPr>
        <w:t>第四十八条 </w:t>
      </w:r>
      <w:r>
        <w:rPr/>
        <w:t>本措施条款中涉及园区财政贡献，特指增值税</w:t>
      </w:r>
      <w:r>
        <w:rPr>
          <w:spacing w:val="-8"/>
        </w:rPr>
        <w:t>及企业所得税产生的贡献。除特别说明园区财政外，资金额度均</w:t>
      </w:r>
      <w:r>
        <w:rPr>
          <w:spacing w:val="-14"/>
        </w:rPr>
        <w:t>包含市和园区两级财政资金。如上级及园区政策调整，以调整后</w:t>
      </w:r>
      <w:r>
        <w:rPr>
          <w:spacing w:val="-14"/>
          <w:w w:val="95"/>
        </w:rPr>
        <w:t>政策为准。</w:t>
      </w:r>
    </w:p>
    <w:p>
      <w:pPr>
        <w:pStyle w:val="BodyText"/>
        <w:spacing w:line="331" w:lineRule="auto" w:before="37"/>
        <w:ind w:right="103" w:firstLine="640"/>
        <w:jc w:val="both"/>
      </w:pPr>
      <w:r>
        <w:rPr>
          <w:rFonts w:ascii="楷体" w:hAnsi="楷体" w:eastAsia="楷体" w:hint="eastAsia"/>
        </w:rPr>
        <w:t>第四十九条 </w:t>
      </w:r>
      <w:r>
        <w:rPr/>
        <w:t>申报年度发生重大安全事故、重大质量事故或有严重环境违法行为或被列入国家失信联合惩戒对象的企业或</w:t>
      </w:r>
      <w:r>
        <w:rPr>
          <w:w w:val="95"/>
        </w:rPr>
        <w:t>单位取消申报资格。认定依据以“信用珠海”网站或相关部门出</w:t>
      </w:r>
    </w:p>
    <w:p>
      <w:pPr>
        <w:spacing w:after="0" w:line="331" w:lineRule="auto"/>
        <w:jc w:val="both"/>
        <w:sectPr>
          <w:pgSz w:w="11910" w:h="16840"/>
          <w:pgMar w:header="0" w:footer="874" w:top="1580" w:bottom="1060" w:left="1420" w:right="1420"/>
        </w:sectPr>
      </w:pPr>
    </w:p>
    <w:p>
      <w:pPr>
        <w:pStyle w:val="BodyText"/>
        <w:ind w:left="0"/>
        <w:rPr>
          <w:sz w:val="20"/>
        </w:rPr>
      </w:pPr>
    </w:p>
    <w:p>
      <w:pPr>
        <w:pStyle w:val="BodyText"/>
        <w:spacing w:before="7"/>
        <w:ind w:left="0"/>
        <w:rPr>
          <w:sz w:val="20"/>
        </w:rPr>
      </w:pPr>
    </w:p>
    <w:p>
      <w:pPr>
        <w:pStyle w:val="BodyText"/>
        <w:spacing w:line="333" w:lineRule="auto" w:before="1"/>
        <w:ind w:right="36"/>
      </w:pPr>
      <w:r>
        <w:rPr>
          <w:spacing w:val="-11"/>
        </w:rPr>
        <w:t>具的失信黑名单、环保红牌企业名单、国家失信联合惩戒名单或</w:t>
      </w:r>
      <w:r>
        <w:rPr>
          <w:spacing w:val="-11"/>
          <w:w w:val="95"/>
        </w:rPr>
        <w:t>园区职能部门出具的名单为准。</w:t>
      </w:r>
    </w:p>
    <w:p>
      <w:pPr>
        <w:pStyle w:val="BodyText"/>
        <w:spacing w:line="331" w:lineRule="auto" w:before="34"/>
        <w:ind w:right="108" w:firstLine="640"/>
        <w:jc w:val="both"/>
      </w:pPr>
      <w:r>
        <w:rPr>
          <w:rFonts w:ascii="楷体" w:eastAsia="楷体" w:hint="eastAsia"/>
          <w:spacing w:val="0"/>
        </w:rPr>
        <w:t>第五十条 </w:t>
      </w:r>
      <w:r>
        <w:rPr/>
        <w:t>本措施申报条件和流程在《申报指南》中予以明</w:t>
      </w:r>
      <w:r>
        <w:rPr>
          <w:spacing w:val="-12"/>
        </w:rPr>
        <w:t>确，自发布之日起实施，由珠海市富山工业园管理委员会负责解</w:t>
      </w:r>
      <w:r>
        <w:rPr>
          <w:spacing w:val="-23"/>
        </w:rPr>
        <w:t>释，有效期至 </w:t>
      </w:r>
      <w:r>
        <w:rPr/>
        <w:t>2020</w:t>
      </w:r>
      <w:r>
        <w:rPr>
          <w:spacing w:val="-55"/>
        </w:rPr>
        <w:t> 年 </w:t>
      </w:r>
      <w:r>
        <w:rPr/>
        <w:t>12</w:t>
      </w:r>
      <w:r>
        <w:rPr>
          <w:spacing w:val="-54"/>
        </w:rPr>
        <w:t> 月 </w:t>
      </w:r>
      <w:r>
        <w:rPr/>
        <w:t>31</w:t>
      </w:r>
      <w:r>
        <w:rPr>
          <w:spacing w:val="-46"/>
        </w:rPr>
        <w:t> 日。对 </w:t>
      </w:r>
      <w:r>
        <w:rPr/>
        <w:t>2018</w:t>
      </w:r>
      <w:r>
        <w:rPr>
          <w:spacing w:val="-54"/>
        </w:rPr>
        <w:t> 年 </w:t>
      </w:r>
      <w:r>
        <w:rPr/>
        <w:t>1</w:t>
      </w:r>
      <w:r>
        <w:rPr>
          <w:spacing w:val="-54"/>
        </w:rPr>
        <w:t> 月 </w:t>
      </w:r>
      <w:r>
        <w:rPr/>
        <w:t>1</w:t>
      </w:r>
      <w:r>
        <w:rPr>
          <w:spacing w:val="-15"/>
        </w:rPr>
        <w:t> 日以后符合</w:t>
      </w:r>
      <w:r>
        <w:rPr>
          <w:spacing w:val="-15"/>
          <w:w w:val="95"/>
        </w:rPr>
        <w:t>条件但未获得资金扶持的企业，可参照执行。</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rPr>
          <w:sz w:val="34"/>
        </w:rPr>
      </w:pPr>
    </w:p>
    <w:p>
      <w:pPr>
        <w:pStyle w:val="BodyText"/>
      </w:pPr>
      <w:r>
        <w:rPr>
          <w:rFonts w:ascii="黑体" w:eastAsia="黑体" w:hint="eastAsia"/>
          <w:w w:val="95"/>
        </w:rPr>
        <w:t>公开方式：</w:t>
      </w:r>
      <w:r>
        <w:rPr>
          <w:w w:val="95"/>
        </w:rPr>
        <w:t>主动公开</w:t>
      </w:r>
    </w:p>
    <w:p>
      <w:pPr>
        <w:pStyle w:val="BodyText"/>
        <w:spacing w:before="12"/>
        <w:ind w:left="0"/>
        <w:rPr>
          <w:sz w:val="23"/>
        </w:rPr>
      </w:pPr>
      <w:r>
        <w:rPr/>
        <w:pict>
          <v:line style="position:absolute;mso-position-horizontal-relative:page;mso-position-vertical-relative:paragraph;z-index:1072;mso-wrap-distance-left:0;mso-wrap-distance-right:0" from="76.559998pt,18.013445pt" to="518.759998pt,18.013445pt" stroked="true" strokeweight=".72pt" strokecolor="#000000">
            <v:stroke dashstyle="solid"/>
            <w10:wrap type="topAndBottom"/>
          </v:line>
        </w:pict>
      </w:r>
    </w:p>
    <w:p>
      <w:pPr>
        <w:pStyle w:val="BodyText"/>
        <w:tabs>
          <w:tab w:pos="5549" w:val="left" w:leader="none"/>
        </w:tabs>
        <w:spacing w:before="57" w:after="91"/>
      </w:pPr>
      <w:r>
        <w:rPr/>
        <w:t>珠海市富山工业园管理委员会办公室</w:t>
        <w:tab/>
        <w:t>2019</w:t>
      </w:r>
      <w:r>
        <w:rPr>
          <w:spacing w:val="-82"/>
        </w:rPr>
        <w:t> </w:t>
      </w:r>
      <w:r>
        <w:rPr/>
        <w:t>年</w:t>
      </w:r>
      <w:r>
        <w:rPr>
          <w:spacing w:val="-81"/>
        </w:rPr>
        <w:t> </w:t>
      </w:r>
      <w:r>
        <w:rPr/>
        <w:t>6</w:t>
      </w:r>
      <w:r>
        <w:rPr>
          <w:spacing w:val="-82"/>
        </w:rPr>
        <w:t> </w:t>
      </w:r>
      <w:r>
        <w:rPr/>
        <w:t>月</w:t>
      </w:r>
      <w:r>
        <w:rPr>
          <w:spacing w:val="-83"/>
        </w:rPr>
        <w:t> </w:t>
      </w:r>
      <w:r>
        <w:rPr/>
        <w:t>12</w:t>
      </w:r>
      <w:r>
        <w:rPr>
          <w:spacing w:val="-82"/>
        </w:rPr>
        <w:t> </w:t>
      </w:r>
      <w:r>
        <w:rPr/>
        <w:t>日印发</w:t>
      </w:r>
    </w:p>
    <w:p>
      <w:pPr>
        <w:pStyle w:val="BodyText"/>
        <w:spacing w:line="20" w:lineRule="exact"/>
        <w:ind w:left="103"/>
        <w:rPr>
          <w:sz w:val="2"/>
        </w:rPr>
      </w:pPr>
      <w:r>
        <w:rPr>
          <w:sz w:val="2"/>
        </w:rPr>
        <w:pict>
          <v:group style="width:442.95pt;height:.75pt;mso-position-horizontal-relative:char;mso-position-vertical-relative:line" coordorigin="0,0" coordsize="8859,15">
            <v:line style="position:absolute" from="8,7" to="8852,7" stroked="true" strokeweight=".72pt" strokecolor="#000000">
              <v:stroke dashstyle="solid"/>
            </v:line>
          </v:group>
        </w:pict>
      </w:r>
      <w:r>
        <w:rPr>
          <w:sz w:val="2"/>
        </w:rPr>
      </w:r>
    </w:p>
    <w:sectPr>
      <w:pgSz w:w="11910" w:h="16840"/>
      <w:pgMar w:header="0" w:footer="874" w:top="1580" w:bottom="106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楷体">
    <w:altName w:val="楷体"/>
    <w:charset w:val="86"/>
    <w:family w:val="modern"/>
    <w:pitch w:val="fixed"/>
  </w:font>
  <w:font w:name="仿宋">
    <w:altName w:val="仿宋"/>
    <w:charset w:val="86"/>
    <w:family w:val="modern"/>
    <w:pitch w:val="fixed"/>
  </w:font>
  <w:font w:name="PMingLiU">
    <w:altName w:val="PMingLiU"/>
    <w:charset w:val="0"/>
    <w:family w:val="roman"/>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61.722687pt;margin-top:787.199707pt;width:58.05pt;height:16.05pt;mso-position-horizontal-relative:page;mso-position-vertical-relative:page;z-index:-6928" type="#_x0000_t202" filled="false" stroked="false">
          <v:textbox inset="0,0,0,0">
            <w:txbxContent>
              <w:p>
                <w:pPr>
                  <w:spacing w:line="30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11</w:t>
                </w:r>
                <w:r>
                  <w:rPr/>
                  <w:fldChar w:fldCharType="end"/>
                </w:r>
                <w:r>
                  <w:rPr>
                    <w:rFonts w:ascii="宋体" w:hAns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5.446053pt;margin-top:787.199707pt;width:58.05pt;height:16.05pt;mso-position-horizontal-relative:page;mso-position-vertical-relative:page;z-index:-6904" type="#_x0000_t202" filled="false" stroked="false">
          <v:textbox inset="0,0,0,0">
            <w:txbxContent>
              <w:p>
                <w:pPr>
                  <w:spacing w:line="30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10</w:t>
                </w:r>
                <w:r>
                  <w:rPr/>
                  <w:fldChar w:fldCharType="end"/>
                </w:r>
                <w:r>
                  <w:rPr>
                    <w:rFonts w:ascii="宋体" w:hAnsi="宋体"/>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BodyText" w:type="paragraph">
    <w:name w:val="Body Text"/>
    <w:basedOn w:val="Normal"/>
    <w:uiPriority w:val="1"/>
    <w:qFormat/>
    <w:pPr>
      <w:ind w:left="108"/>
    </w:pPr>
    <w:rPr>
      <w:rFonts w:ascii="仿宋" w:hAnsi="仿宋" w:eastAsia="仿宋" w:cs="仿宋"/>
      <w:sz w:val="32"/>
      <w:szCs w:val="32"/>
    </w:rPr>
  </w:style>
  <w:style w:styleId="Heading1" w:type="paragraph">
    <w:name w:val="Heading 1"/>
    <w:basedOn w:val="Normal"/>
    <w:uiPriority w:val="1"/>
    <w:qFormat/>
    <w:pPr>
      <w:spacing w:before="1"/>
      <w:ind w:left="583" w:right="565" w:hanging="2199"/>
      <w:outlineLvl w:val="1"/>
    </w:pPr>
    <w:rPr>
      <w:rFonts w:ascii="PMingLiU" w:hAnsi="PMingLiU" w:eastAsia="PMingLiU" w:cs="PMingLiU"/>
      <w:sz w:val="44"/>
      <w:szCs w:val="4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2019-07-26T08:57:42Z</dcterms:created>
  <dcterms:modified xsi:type="dcterms:W3CDTF">2019-07-26T08:57:42Z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LastSaved">
    <vt:filetime>2019-07-26T00:00:00Z</vt:filetime>
  </property>
</Properties>
</file>