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1155700</wp:posOffset>
            </wp:positionH>
            <wp:positionV relativeFrom="page">
              <wp:posOffset>1079500</wp:posOffset>
            </wp:positionV>
            <wp:extent cx="5259070" cy="4387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5259070" cy="43878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page">
                  <wp:posOffset>735965</wp:posOffset>
                </wp:positionH>
                <wp:positionV relativeFrom="page">
                  <wp:posOffset>1819275</wp:posOffset>
                </wp:positionV>
                <wp:extent cx="608774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87745" cy="4763"/>
                        </a:xfrm>
                        <a:prstGeom prst="line">
                          <a:avLst/>
                        </a:prstGeom>
                        <a:solidFill>
                          <a:srgbClr val="FFFFFF"/>
                        </a:solidFill>
                        <a:ln w="9143">
                          <a:solidFill>
                            <a:srgbClr val="FF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95pt,143.25pt" to="537.3pt,143.25pt" o:allowincell="f" strokecolor="#FF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735965</wp:posOffset>
                </wp:positionH>
                <wp:positionV relativeFrom="page">
                  <wp:posOffset>1852295</wp:posOffset>
                </wp:positionV>
                <wp:extent cx="608774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87745" cy="4763"/>
                        </a:xfrm>
                        <a:prstGeom prst="line">
                          <a:avLst/>
                        </a:prstGeom>
                        <a:solidFill>
                          <a:srgbClr val="FFFFFF"/>
                        </a:solidFill>
                        <a:ln w="38100">
                          <a:solidFill>
                            <a:srgbClr val="FF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95pt,145.85pt" to="537.3pt,145.85pt" o:allowincell="f" strokecolor="#FF0000" strokeweight="3pt">
                <w10:wrap anchorx="page" anchory="page"/>
              </v:line>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4" w:lineRule="exact"/>
        <w:rPr>
          <w:sz w:val="24"/>
          <w:szCs w:val="24"/>
          <w:color w:val="auto"/>
        </w:rPr>
      </w:pPr>
    </w:p>
    <w:p>
      <w:pPr>
        <w:jc w:val="center"/>
        <w:ind w:right="-139"/>
        <w:spacing w:after="0" w:line="502" w:lineRule="exact"/>
        <w:rPr>
          <w:sz w:val="20"/>
          <w:szCs w:val="20"/>
          <w:color w:val="auto"/>
        </w:rPr>
      </w:pPr>
      <w:r>
        <w:rPr>
          <w:rFonts w:ascii="宋体" w:cs="宋体" w:eastAsia="宋体" w:hAnsi="宋体"/>
          <w:sz w:val="44"/>
          <w:szCs w:val="44"/>
          <w:color w:val="5E5D5D"/>
        </w:rPr>
        <w:t>关于开展珠海市高端学术交流资助</w:t>
      </w:r>
    </w:p>
    <w:p>
      <w:pPr>
        <w:spacing w:after="0" w:line="255" w:lineRule="exact"/>
        <w:rPr>
          <w:sz w:val="24"/>
          <w:szCs w:val="24"/>
          <w:color w:val="auto"/>
        </w:rPr>
      </w:pPr>
    </w:p>
    <w:p>
      <w:pPr>
        <w:jc w:val="center"/>
        <w:ind w:right="-119"/>
        <w:spacing w:after="0" w:line="502" w:lineRule="exact"/>
        <w:rPr>
          <w:sz w:val="20"/>
          <w:szCs w:val="20"/>
          <w:color w:val="auto"/>
        </w:rPr>
      </w:pPr>
      <w:r>
        <w:rPr>
          <w:rFonts w:ascii="宋体" w:cs="宋体" w:eastAsia="宋体" w:hAnsi="宋体"/>
          <w:sz w:val="44"/>
          <w:szCs w:val="44"/>
          <w:color w:val="5E5D5D"/>
        </w:rPr>
        <w:t>评审委员会委员推荐工作的函</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9" w:lineRule="exact"/>
        <w:rPr>
          <w:sz w:val="24"/>
          <w:szCs w:val="24"/>
          <w:color w:val="auto"/>
        </w:rPr>
      </w:pPr>
    </w:p>
    <w:p>
      <w:pPr>
        <w:spacing w:after="0" w:line="366" w:lineRule="exact"/>
        <w:rPr>
          <w:sz w:val="20"/>
          <w:szCs w:val="20"/>
          <w:color w:val="auto"/>
        </w:rPr>
      </w:pPr>
      <w:r>
        <w:rPr>
          <w:rFonts w:ascii="宋体" w:cs="宋体" w:eastAsia="宋体" w:hAnsi="宋体"/>
          <w:sz w:val="32"/>
          <w:szCs w:val="32"/>
          <w:color w:val="auto"/>
        </w:rPr>
        <w:t>各相关单位：</w:t>
      </w:r>
    </w:p>
    <w:p>
      <w:pPr>
        <w:spacing w:after="0" w:line="216" w:lineRule="exact"/>
        <w:rPr>
          <w:sz w:val="24"/>
          <w:szCs w:val="24"/>
          <w:color w:val="auto"/>
        </w:rPr>
      </w:pPr>
    </w:p>
    <w:p>
      <w:pPr>
        <w:jc w:val="both"/>
        <w:ind w:right="40" w:firstLine="641"/>
        <w:spacing w:after="0" w:line="548" w:lineRule="exact"/>
        <w:rPr>
          <w:sz w:val="20"/>
          <w:szCs w:val="20"/>
          <w:color w:val="auto"/>
        </w:rPr>
      </w:pPr>
      <w:r>
        <w:rPr>
          <w:rFonts w:ascii="宋体" w:cs="宋体" w:eastAsia="宋体" w:hAnsi="宋体"/>
          <w:sz w:val="32"/>
          <w:szCs w:val="32"/>
          <w:color w:val="auto"/>
        </w:rPr>
        <w:t>经市政府同意，《珠海市高端学术交流资助办法（试行）》正式印发出台。根据该办法有关规定，市科协将组建成立珠海市高端学术交流资助评审委员会。为确保珠海市高端学术交流资助项目评审质量，现向各相关单位开展评审委员会委员推荐提名工作，委员推荐办法如下：</w:t>
      </w:r>
    </w:p>
    <w:p>
      <w:pPr>
        <w:spacing w:after="0" w:line="179" w:lineRule="exact"/>
        <w:rPr>
          <w:sz w:val="24"/>
          <w:szCs w:val="24"/>
          <w:color w:val="auto"/>
        </w:rPr>
      </w:pPr>
    </w:p>
    <w:p>
      <w:pPr>
        <w:ind w:left="640"/>
        <w:spacing w:after="0" w:line="366" w:lineRule="exact"/>
        <w:rPr>
          <w:sz w:val="20"/>
          <w:szCs w:val="20"/>
          <w:color w:val="auto"/>
        </w:rPr>
      </w:pPr>
      <w:r>
        <w:rPr>
          <w:rFonts w:ascii="黑体" w:cs="黑体" w:eastAsia="黑体" w:hAnsi="黑体"/>
          <w:sz w:val="32"/>
          <w:szCs w:val="32"/>
          <w:color w:val="auto"/>
        </w:rPr>
        <w:t>一、委员会成员组成</w:t>
      </w:r>
    </w:p>
    <w:p>
      <w:pPr>
        <w:spacing w:after="0" w:line="199" w:lineRule="exact"/>
        <w:rPr>
          <w:sz w:val="24"/>
          <w:szCs w:val="24"/>
          <w:color w:val="auto"/>
        </w:rPr>
      </w:pPr>
    </w:p>
    <w:p>
      <w:pPr>
        <w:ind w:left="640"/>
        <w:spacing w:after="0" w:line="366" w:lineRule="exact"/>
        <w:rPr>
          <w:sz w:val="20"/>
          <w:szCs w:val="20"/>
          <w:color w:val="auto"/>
        </w:rPr>
      </w:pPr>
      <w:r>
        <w:rPr>
          <w:rFonts w:ascii="宋体" w:cs="宋体" w:eastAsia="宋体" w:hAnsi="宋体"/>
          <w:sz w:val="32"/>
          <w:szCs w:val="32"/>
          <w:color w:val="auto"/>
        </w:rPr>
        <w:t>市科技管理部门、学术界、科技界、产业界。</w:t>
      </w:r>
    </w:p>
    <w:p>
      <w:pPr>
        <w:spacing w:after="0" w:line="233" w:lineRule="exact"/>
        <w:rPr>
          <w:sz w:val="24"/>
          <w:szCs w:val="24"/>
          <w:color w:val="auto"/>
        </w:rPr>
      </w:pPr>
    </w:p>
    <w:p>
      <w:pPr>
        <w:ind w:left="640"/>
        <w:spacing w:after="0" w:line="366" w:lineRule="exact"/>
        <w:rPr>
          <w:sz w:val="20"/>
          <w:szCs w:val="20"/>
          <w:color w:val="auto"/>
        </w:rPr>
      </w:pPr>
      <w:r>
        <w:rPr>
          <w:rFonts w:ascii="黑体" w:cs="黑体" w:eastAsia="黑体" w:hAnsi="黑体"/>
          <w:sz w:val="32"/>
          <w:szCs w:val="32"/>
          <w:color w:val="auto"/>
        </w:rPr>
        <w:t>二、推荐人选条件</w:t>
      </w:r>
    </w:p>
    <w:p>
      <w:pPr>
        <w:spacing w:after="0" w:line="197" w:lineRule="exact"/>
        <w:rPr>
          <w:sz w:val="24"/>
          <w:szCs w:val="24"/>
          <w:color w:val="auto"/>
        </w:rPr>
      </w:pPr>
    </w:p>
    <w:p>
      <w:pPr>
        <w:ind w:firstLine="641"/>
        <w:spacing w:after="0" w:line="498" w:lineRule="exact"/>
        <w:rPr>
          <w:sz w:val="20"/>
          <w:szCs w:val="20"/>
          <w:color w:val="auto"/>
        </w:rPr>
      </w:pPr>
      <w:r>
        <w:rPr>
          <w:rFonts w:ascii="宋体" w:cs="宋体" w:eastAsia="宋体" w:hAnsi="宋体"/>
          <w:sz w:val="32"/>
          <w:szCs w:val="32"/>
          <w:color w:val="auto"/>
        </w:rPr>
        <w:t>（一）从事本专业工作一般</w:t>
      </w:r>
      <w:r>
        <w:rPr>
          <w:rFonts w:ascii="Arial" w:cs="Arial" w:eastAsia="Arial" w:hAnsi="Arial"/>
          <w:sz w:val="32"/>
          <w:szCs w:val="32"/>
          <w:color w:val="auto"/>
        </w:rPr>
        <w:t xml:space="preserve"> 15 </w:t>
      </w:r>
      <w:r>
        <w:rPr>
          <w:rFonts w:ascii="宋体" w:cs="宋体" w:eastAsia="宋体" w:hAnsi="宋体"/>
          <w:sz w:val="32"/>
          <w:szCs w:val="32"/>
          <w:color w:val="auto"/>
        </w:rPr>
        <w:t>年以上（含就学时间），取得本专业或相近专业正高级专业技术职务任职资格；</w:t>
      </w:r>
    </w:p>
    <w:p>
      <w:pPr>
        <w:spacing w:after="0" w:line="166" w:lineRule="exact"/>
        <w:rPr>
          <w:sz w:val="24"/>
          <w:szCs w:val="24"/>
          <w:color w:val="auto"/>
        </w:rPr>
      </w:pPr>
    </w:p>
    <w:p>
      <w:pPr>
        <w:jc w:val="both"/>
        <w:ind w:right="40" w:firstLine="641"/>
        <w:spacing w:after="0" w:line="498" w:lineRule="exact"/>
        <w:rPr>
          <w:sz w:val="20"/>
          <w:szCs w:val="20"/>
          <w:color w:val="auto"/>
        </w:rPr>
      </w:pPr>
      <w:r>
        <w:rPr>
          <w:rFonts w:ascii="宋体" w:cs="宋体" w:eastAsia="宋体" w:hAnsi="宋体"/>
          <w:sz w:val="32"/>
          <w:szCs w:val="32"/>
          <w:color w:val="auto"/>
        </w:rPr>
        <w:t>（二）学术造诣深，知识面广，在本专业同行专家中有较高知名度，熟悉本专业国内外最新技术和理论研究动态；</w:t>
      </w:r>
    </w:p>
    <w:p>
      <w:pPr>
        <w:spacing w:after="0" w:line="165" w:lineRule="exact"/>
        <w:rPr>
          <w:sz w:val="24"/>
          <w:szCs w:val="24"/>
          <w:color w:val="auto"/>
        </w:rPr>
      </w:pPr>
    </w:p>
    <w:p>
      <w:pPr>
        <w:jc w:val="both"/>
        <w:ind w:right="40" w:firstLine="639"/>
        <w:spacing w:after="0" w:line="525" w:lineRule="exact"/>
        <w:rPr>
          <w:sz w:val="20"/>
          <w:szCs w:val="20"/>
          <w:color w:val="auto"/>
        </w:rPr>
      </w:pPr>
      <w:r>
        <w:rPr>
          <w:rFonts w:ascii="宋体" w:cs="宋体" w:eastAsia="宋体" w:hAnsi="宋体"/>
          <w:sz w:val="31"/>
          <w:szCs w:val="31"/>
          <w:color w:val="auto"/>
        </w:rPr>
        <w:t>（三）系统掌握相关行业理论知识，有丰富的实践工作经验，全面掌握本专业有关的技术标准、技术规范和技术规程，参加过省部级以上成果评估、项目鉴定或有解决重大、疑难技术问题的经历；</w:t>
      </w:r>
    </w:p>
    <w:p>
      <w:pPr>
        <w:sectPr>
          <w:pgSz w:w="11900" w:h="16838" w:orient="portrait"/>
          <w:cols w:equalWidth="0" w:num="1">
            <w:col w:w="9620"/>
          </w:cols>
          <w:pgMar w:left="1140" w:top="1440" w:right="1146" w:bottom="927" w:gutter="0" w:footer="0" w:header="0"/>
        </w:sectPr>
      </w:pPr>
    </w:p>
    <w:bookmarkStart w:id="1" w:name="page2"/>
    <w:bookmarkEnd w:id="1"/>
    <w:p>
      <w:pPr>
        <w:spacing w:after="0" w:line="387" w:lineRule="exact"/>
        <w:rPr>
          <w:sz w:val="20"/>
          <w:szCs w:val="20"/>
          <w:color w:val="auto"/>
        </w:rPr>
      </w:pPr>
    </w:p>
    <w:p>
      <w:pPr>
        <w:ind w:right="220" w:firstLine="639"/>
        <w:spacing w:after="0" w:line="499" w:lineRule="exact"/>
        <w:rPr>
          <w:sz w:val="20"/>
          <w:szCs w:val="20"/>
          <w:color w:val="auto"/>
        </w:rPr>
      </w:pPr>
      <w:r>
        <w:rPr>
          <w:rFonts w:ascii="宋体" w:cs="宋体" w:eastAsia="宋体" w:hAnsi="宋体"/>
          <w:sz w:val="32"/>
          <w:szCs w:val="32"/>
          <w:color w:val="auto"/>
        </w:rPr>
        <w:t>（四）政策水平高，作风正派，没有不良记录；办事公道，能认真履职，自觉遵守职业道德和评审工作纪律，热心评审工作；</w:t>
      </w:r>
    </w:p>
    <w:p>
      <w:pPr>
        <w:spacing w:after="0" w:line="164" w:lineRule="exact"/>
        <w:rPr>
          <w:sz w:val="20"/>
          <w:szCs w:val="20"/>
          <w:color w:val="auto"/>
        </w:rPr>
      </w:pPr>
    </w:p>
    <w:p>
      <w:pPr>
        <w:ind w:right="220" w:firstLine="641"/>
        <w:spacing w:after="0" w:line="498" w:lineRule="exact"/>
        <w:rPr>
          <w:sz w:val="20"/>
          <w:szCs w:val="20"/>
          <w:color w:val="auto"/>
        </w:rPr>
      </w:pPr>
      <w:r>
        <w:rPr>
          <w:rFonts w:ascii="宋体" w:cs="宋体" w:eastAsia="宋体" w:hAnsi="宋体"/>
          <w:sz w:val="32"/>
          <w:szCs w:val="32"/>
          <w:color w:val="auto"/>
        </w:rPr>
        <w:t>（五）身体健康，能够正常履行评审委员会委员职责，在聘期内（一般为壹年），有参加评审工作的时间和精力。</w:t>
      </w:r>
    </w:p>
    <w:p>
      <w:pPr>
        <w:spacing w:after="0" w:line="181" w:lineRule="exact"/>
        <w:rPr>
          <w:sz w:val="20"/>
          <w:szCs w:val="20"/>
          <w:color w:val="auto"/>
        </w:rPr>
      </w:pPr>
    </w:p>
    <w:p>
      <w:pPr>
        <w:ind w:left="640"/>
        <w:spacing w:after="0" w:line="366" w:lineRule="exact"/>
        <w:rPr>
          <w:sz w:val="20"/>
          <w:szCs w:val="20"/>
          <w:color w:val="auto"/>
        </w:rPr>
      </w:pPr>
      <w:r>
        <w:rPr>
          <w:rFonts w:ascii="黑体" w:cs="黑体" w:eastAsia="黑体" w:hAnsi="黑体"/>
          <w:sz w:val="32"/>
          <w:szCs w:val="32"/>
          <w:color w:val="auto"/>
        </w:rPr>
        <w:t>三、相关事项</w:t>
      </w:r>
    </w:p>
    <w:p>
      <w:pPr>
        <w:spacing w:after="0" w:line="200" w:lineRule="exact"/>
        <w:rPr>
          <w:sz w:val="20"/>
          <w:szCs w:val="20"/>
          <w:color w:val="auto"/>
        </w:rPr>
      </w:pPr>
    </w:p>
    <w:p>
      <w:pPr>
        <w:ind w:right="220" w:firstLine="639"/>
        <w:spacing w:after="0" w:line="498" w:lineRule="exact"/>
        <w:rPr>
          <w:sz w:val="20"/>
          <w:szCs w:val="20"/>
          <w:color w:val="auto"/>
        </w:rPr>
      </w:pPr>
      <w:r>
        <w:rPr>
          <w:rFonts w:ascii="宋体" w:cs="宋体" w:eastAsia="宋体" w:hAnsi="宋体"/>
          <w:sz w:val="32"/>
          <w:szCs w:val="32"/>
          <w:color w:val="auto"/>
        </w:rPr>
        <w:t>（一）推荐候选人可以是单位推荐，也可以以个人身份推荐，单位推荐应是本单位正式在编人员。</w:t>
      </w:r>
    </w:p>
    <w:p>
      <w:pPr>
        <w:spacing w:after="0" w:line="165" w:lineRule="exact"/>
        <w:rPr>
          <w:sz w:val="20"/>
          <w:szCs w:val="20"/>
          <w:color w:val="auto"/>
        </w:rPr>
      </w:pPr>
    </w:p>
    <w:p>
      <w:pPr>
        <w:ind w:firstLine="641"/>
        <w:spacing w:after="0" w:line="525" w:lineRule="exact"/>
        <w:rPr>
          <w:sz w:val="20"/>
          <w:szCs w:val="20"/>
          <w:color w:val="auto"/>
        </w:rPr>
      </w:pPr>
      <w:r>
        <w:rPr>
          <w:rFonts w:ascii="宋体" w:cs="宋体" w:eastAsia="宋体" w:hAnsi="宋体"/>
          <w:sz w:val="31"/>
          <w:szCs w:val="31"/>
          <w:color w:val="auto"/>
        </w:rPr>
        <w:t>（二）请各单位按条件认真组织推荐人选，并填写《珠海市高端学术交流资助委员会委员推荐表》（见附件），于</w:t>
      </w:r>
      <w:r>
        <w:rPr>
          <w:rFonts w:ascii="Arial" w:cs="Arial" w:eastAsia="Arial" w:hAnsi="Arial"/>
          <w:sz w:val="31"/>
          <w:szCs w:val="31"/>
          <w:color w:val="auto"/>
        </w:rPr>
        <w:t xml:space="preserve"> 2019 </w:t>
      </w:r>
      <w:r>
        <w:rPr>
          <w:rFonts w:ascii="宋体" w:cs="宋体" w:eastAsia="宋体" w:hAnsi="宋体"/>
          <w:sz w:val="31"/>
          <w:szCs w:val="31"/>
          <w:color w:val="auto"/>
        </w:rPr>
        <w:t>年</w:t>
      </w:r>
      <w:r>
        <w:rPr>
          <w:rFonts w:ascii="Arial" w:cs="Arial" w:eastAsia="Arial" w:hAnsi="Arial"/>
          <w:sz w:val="31"/>
          <w:szCs w:val="31"/>
          <w:color w:val="auto"/>
        </w:rPr>
        <w:t xml:space="preserve"> 8 </w:t>
      </w:r>
      <w:r>
        <w:rPr>
          <w:rFonts w:ascii="宋体" w:cs="宋体" w:eastAsia="宋体" w:hAnsi="宋体"/>
          <w:sz w:val="31"/>
          <w:szCs w:val="31"/>
          <w:color w:val="auto"/>
        </w:rPr>
        <w:t>月</w:t>
      </w:r>
      <w:r>
        <w:rPr>
          <w:rFonts w:ascii="Arial" w:cs="Arial" w:eastAsia="Arial" w:hAnsi="Arial"/>
          <w:sz w:val="31"/>
          <w:szCs w:val="31"/>
          <w:color w:val="auto"/>
        </w:rPr>
        <w:t xml:space="preserve"> 15 </w:t>
      </w:r>
      <w:r>
        <w:rPr>
          <w:rFonts w:ascii="宋体" w:cs="宋体" w:eastAsia="宋体" w:hAnsi="宋体"/>
          <w:sz w:val="31"/>
          <w:szCs w:val="31"/>
          <w:color w:val="auto"/>
        </w:rPr>
        <w:t>日前，将加盖单位公章的纸质件</w:t>
      </w:r>
      <w:r>
        <w:rPr>
          <w:rFonts w:ascii="Arial" w:cs="Arial" w:eastAsia="Arial" w:hAnsi="Arial"/>
          <w:sz w:val="31"/>
          <w:szCs w:val="31"/>
          <w:color w:val="auto"/>
        </w:rPr>
        <w:t xml:space="preserve"> 1 </w:t>
      </w:r>
      <w:r>
        <w:rPr>
          <w:rFonts w:ascii="宋体" w:cs="宋体" w:eastAsia="宋体" w:hAnsi="宋体"/>
          <w:sz w:val="31"/>
          <w:szCs w:val="31"/>
          <w:color w:val="auto"/>
        </w:rPr>
        <w:t>份、电子件</w:t>
      </w:r>
      <w:r>
        <w:rPr>
          <w:rFonts w:ascii="Arial" w:cs="Arial" w:eastAsia="Arial" w:hAnsi="Arial"/>
          <w:sz w:val="31"/>
          <w:szCs w:val="31"/>
          <w:color w:val="auto"/>
        </w:rPr>
        <w:t xml:space="preserve"> 1 </w:t>
      </w:r>
      <w:r>
        <w:rPr>
          <w:rFonts w:ascii="宋体" w:cs="宋体" w:eastAsia="宋体" w:hAnsi="宋体"/>
          <w:sz w:val="31"/>
          <w:szCs w:val="31"/>
          <w:color w:val="auto"/>
        </w:rPr>
        <w:t>份通过电子邮箱报送市科协。</w:t>
      </w:r>
    </w:p>
    <w:p>
      <w:pPr>
        <w:spacing w:after="0" w:line="167" w:lineRule="exact"/>
        <w:rPr>
          <w:sz w:val="20"/>
          <w:szCs w:val="20"/>
          <w:color w:val="auto"/>
        </w:rPr>
      </w:pPr>
    </w:p>
    <w:p>
      <w:pPr>
        <w:ind w:left="640"/>
        <w:spacing w:after="0" w:line="388" w:lineRule="exact"/>
        <w:tabs>
          <w:tab w:leader="none" w:pos="4460" w:val="left"/>
        </w:tabs>
        <w:rPr>
          <w:sz w:val="20"/>
          <w:szCs w:val="20"/>
          <w:color w:val="auto"/>
        </w:rPr>
      </w:pPr>
      <w:r>
        <w:rPr>
          <w:rFonts w:ascii="宋体" w:cs="宋体" w:eastAsia="宋体" w:hAnsi="宋体"/>
          <w:sz w:val="32"/>
          <w:szCs w:val="32"/>
          <w:color w:val="auto"/>
        </w:rPr>
        <w:t>联系人：赖先生、吴小姐</w:t>
      </w:r>
      <w:r>
        <w:rPr>
          <w:sz w:val="20"/>
          <w:szCs w:val="20"/>
          <w:color w:val="auto"/>
        </w:rPr>
        <w:tab/>
      </w:r>
      <w:r>
        <w:rPr>
          <w:rFonts w:ascii="宋体" w:cs="宋体" w:eastAsia="宋体" w:hAnsi="宋体"/>
          <w:sz w:val="32"/>
          <w:szCs w:val="32"/>
          <w:color w:val="auto"/>
        </w:rPr>
        <w:t>联系电话：</w:t>
      </w:r>
      <w:r>
        <w:rPr>
          <w:rFonts w:ascii="Arial" w:cs="Arial" w:eastAsia="Arial" w:hAnsi="Arial"/>
          <w:sz w:val="32"/>
          <w:szCs w:val="32"/>
          <w:color w:val="auto"/>
        </w:rPr>
        <w:t>3336893</w:t>
      </w:r>
      <w:r>
        <w:rPr>
          <w:rFonts w:ascii="宋体" w:cs="宋体" w:eastAsia="宋体" w:hAnsi="宋体"/>
          <w:sz w:val="32"/>
          <w:szCs w:val="32"/>
          <w:color w:val="auto"/>
        </w:rPr>
        <w:t>、</w:t>
      </w:r>
      <w:r>
        <w:rPr>
          <w:rFonts w:ascii="Arial" w:cs="Arial" w:eastAsia="Arial" w:hAnsi="Arial"/>
          <w:sz w:val="32"/>
          <w:szCs w:val="32"/>
          <w:color w:val="auto"/>
        </w:rPr>
        <w:t>3330111</w:t>
      </w:r>
    </w:p>
    <w:p>
      <w:pPr>
        <w:spacing w:after="0" w:line="193" w:lineRule="exact"/>
        <w:rPr>
          <w:sz w:val="20"/>
          <w:szCs w:val="20"/>
          <w:color w:val="auto"/>
        </w:rPr>
      </w:pPr>
    </w:p>
    <w:p>
      <w:pPr>
        <w:ind w:left="640"/>
        <w:spacing w:after="0" w:line="388" w:lineRule="exact"/>
        <w:rPr>
          <w:sz w:val="20"/>
          <w:szCs w:val="20"/>
          <w:color w:val="auto"/>
        </w:rPr>
      </w:pPr>
      <w:r>
        <w:rPr>
          <w:rFonts w:ascii="宋体" w:cs="宋体" w:eastAsia="宋体" w:hAnsi="宋体"/>
          <w:sz w:val="32"/>
          <w:szCs w:val="32"/>
          <w:color w:val="auto"/>
        </w:rPr>
        <w:t>电子邮箱：</w:t>
      </w:r>
      <w:r>
        <w:rPr>
          <w:rFonts w:ascii="Arial" w:cs="Arial" w:eastAsia="Arial" w:hAnsi="Arial"/>
          <w:sz w:val="32"/>
          <w:szCs w:val="32"/>
          <w:color w:val="auto"/>
        </w:rPr>
        <w:t>zhsgdxsxm@163.com</w:t>
      </w:r>
    </w:p>
    <w:p>
      <w:pPr>
        <w:spacing w:after="0" w:line="191" w:lineRule="exact"/>
        <w:rPr>
          <w:sz w:val="20"/>
          <w:szCs w:val="20"/>
          <w:color w:val="auto"/>
        </w:rPr>
      </w:pPr>
    </w:p>
    <w:p>
      <w:pPr>
        <w:ind w:left="1600" w:right="1220" w:hanging="957"/>
        <w:spacing w:after="0" w:line="498" w:lineRule="exact"/>
        <w:rPr>
          <w:sz w:val="20"/>
          <w:szCs w:val="20"/>
          <w:color w:val="auto"/>
        </w:rPr>
      </w:pPr>
      <w:r>
        <w:rPr>
          <w:rFonts w:ascii="宋体" w:cs="宋体" w:eastAsia="宋体" w:hAnsi="宋体"/>
          <w:sz w:val="32"/>
          <w:szCs w:val="32"/>
          <w:color w:val="auto"/>
        </w:rPr>
        <w:t>附件：</w:t>
      </w:r>
      <w:r>
        <w:rPr>
          <w:rFonts w:ascii="Arial" w:cs="Arial" w:eastAsia="Arial" w:hAnsi="Arial"/>
          <w:sz w:val="32"/>
          <w:szCs w:val="32"/>
          <w:color w:val="auto"/>
        </w:rPr>
        <w:t>1.</w:t>
      </w:r>
      <w:r>
        <w:rPr>
          <w:rFonts w:ascii="宋体" w:cs="宋体" w:eastAsia="宋体" w:hAnsi="宋体"/>
          <w:sz w:val="32"/>
          <w:szCs w:val="32"/>
          <w:color w:val="auto"/>
        </w:rPr>
        <w:t>《珠海市高端学术交流资助委员会委员推荐表》</w:t>
      </w:r>
      <w:r>
        <w:rPr>
          <w:rFonts w:ascii="Arial" w:cs="Arial" w:eastAsia="Arial" w:hAnsi="Arial"/>
          <w:sz w:val="32"/>
          <w:szCs w:val="32"/>
          <w:color w:val="auto"/>
        </w:rPr>
        <w:t>2.</w:t>
      </w:r>
      <w:r>
        <w:rPr>
          <w:rFonts w:ascii="宋体" w:cs="宋体" w:eastAsia="宋体" w:hAnsi="宋体"/>
          <w:sz w:val="32"/>
          <w:szCs w:val="32"/>
          <w:color w:val="auto"/>
        </w:rPr>
        <w:t>《珠海市高端学术交流资助办法（试行）》</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3385185</wp:posOffset>
            </wp:positionH>
            <wp:positionV relativeFrom="paragraph">
              <wp:posOffset>-109220</wp:posOffset>
            </wp:positionV>
            <wp:extent cx="1694815" cy="16948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1694815" cy="1694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jc w:val="right"/>
        <w:ind w:right="1800"/>
        <w:spacing w:after="0" w:line="366" w:lineRule="exact"/>
        <w:rPr>
          <w:sz w:val="20"/>
          <w:szCs w:val="20"/>
          <w:color w:val="auto"/>
        </w:rPr>
      </w:pPr>
      <w:r>
        <w:rPr>
          <w:rFonts w:ascii="宋体" w:cs="宋体" w:eastAsia="宋体" w:hAnsi="宋体"/>
          <w:sz w:val="32"/>
          <w:szCs w:val="32"/>
          <w:color w:val="auto"/>
        </w:rPr>
        <w:t>珠海市科学技术协会</w:t>
      </w:r>
    </w:p>
    <w:p>
      <w:pPr>
        <w:spacing w:after="0" w:line="216" w:lineRule="exact"/>
        <w:rPr>
          <w:sz w:val="20"/>
          <w:szCs w:val="20"/>
          <w:color w:val="auto"/>
        </w:rPr>
      </w:pPr>
    </w:p>
    <w:p>
      <w:pPr>
        <w:jc w:val="right"/>
        <w:ind w:right="1880"/>
        <w:spacing w:after="0" w:line="388" w:lineRule="exact"/>
        <w:rPr>
          <w:sz w:val="20"/>
          <w:szCs w:val="20"/>
          <w:color w:val="auto"/>
        </w:rPr>
      </w:pPr>
      <w:r>
        <w:rPr>
          <w:rFonts w:ascii="Arial" w:cs="Arial" w:eastAsia="Arial" w:hAnsi="Arial"/>
          <w:sz w:val="32"/>
          <w:szCs w:val="32"/>
          <w:color w:val="auto"/>
        </w:rPr>
        <w:t xml:space="preserve">2019 </w:t>
      </w:r>
      <w:r>
        <w:rPr>
          <w:rFonts w:ascii="宋体" w:cs="宋体" w:eastAsia="宋体" w:hAnsi="宋体"/>
          <w:sz w:val="32"/>
          <w:szCs w:val="32"/>
          <w:color w:val="auto"/>
        </w:rPr>
        <w:t>年</w:t>
      </w:r>
      <w:r>
        <w:rPr>
          <w:rFonts w:ascii="Arial" w:cs="Arial" w:eastAsia="Arial" w:hAnsi="Arial"/>
          <w:sz w:val="32"/>
          <w:szCs w:val="32"/>
          <w:color w:val="auto"/>
        </w:rPr>
        <w:t xml:space="preserve"> 8 </w:t>
      </w:r>
      <w:r>
        <w:rPr>
          <w:rFonts w:ascii="宋体" w:cs="宋体" w:eastAsia="宋体" w:hAnsi="宋体"/>
          <w:sz w:val="32"/>
          <w:szCs w:val="32"/>
          <w:color w:val="auto"/>
        </w:rPr>
        <w:t>月</w:t>
      </w:r>
      <w:r>
        <w:rPr>
          <w:rFonts w:ascii="Arial" w:cs="Arial" w:eastAsia="Arial" w:hAnsi="Arial"/>
          <w:sz w:val="32"/>
          <w:szCs w:val="32"/>
          <w:color w:val="auto"/>
        </w:rPr>
        <w:t xml:space="preserve"> 9 </w:t>
      </w:r>
      <w:r>
        <w:rPr>
          <w:rFonts w:ascii="宋体" w:cs="宋体" w:eastAsia="宋体" w:hAnsi="宋体"/>
          <w:sz w:val="32"/>
          <w:szCs w:val="32"/>
          <w:color w:val="auto"/>
        </w:rPr>
        <w:t>日</w:t>
      </w:r>
    </w:p>
    <w:p>
      <w:pPr>
        <w:sectPr>
          <w:pgSz w:w="11900" w:h="16838" w:orient="portrait"/>
          <w:cols w:equalWidth="0" w:num="1">
            <w:col w:w="9800"/>
          </w:cols>
          <w:pgMar w:left="1140" w:top="1440" w:right="966" w:bottom="1440"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100"/>
        <w:spacing w:after="0" w:line="320" w:lineRule="exact"/>
        <w:rPr>
          <w:sz w:val="20"/>
          <w:szCs w:val="20"/>
          <w:color w:val="auto"/>
        </w:rPr>
      </w:pPr>
      <w:r>
        <w:rPr>
          <w:rFonts w:ascii="黑体" w:cs="黑体" w:eastAsia="黑体" w:hAnsi="黑体"/>
          <w:sz w:val="28"/>
          <w:szCs w:val="28"/>
          <w:color w:val="111111"/>
        </w:rPr>
        <w:t>附件 1：</w:t>
      </w:r>
    </w:p>
    <w:p>
      <w:pPr>
        <w:spacing w:after="0" w:line="345" w:lineRule="exact"/>
        <w:rPr>
          <w:sz w:val="20"/>
          <w:szCs w:val="20"/>
          <w:color w:val="auto"/>
        </w:rPr>
      </w:pPr>
    </w:p>
    <w:p>
      <w:pPr>
        <w:jc w:val="center"/>
        <w:ind w:right="20"/>
        <w:spacing w:after="0" w:line="411" w:lineRule="exact"/>
        <w:rPr>
          <w:sz w:val="20"/>
          <w:szCs w:val="20"/>
          <w:color w:val="auto"/>
        </w:rPr>
      </w:pPr>
      <w:r>
        <w:rPr>
          <w:rFonts w:ascii="黑体" w:cs="黑体" w:eastAsia="黑体" w:hAnsi="黑体"/>
          <w:sz w:val="36"/>
          <w:szCs w:val="36"/>
          <w:b w:val="1"/>
          <w:bCs w:val="1"/>
          <w:color w:val="111111"/>
        </w:rPr>
        <w:t>珠海市高端学术交流资助评审委员会委员推荐表</w:t>
      </w:r>
    </w:p>
    <w:p>
      <w:pPr>
        <w:spacing w:after="0" w:line="307" w:lineRule="exact"/>
        <w:rPr>
          <w:sz w:val="20"/>
          <w:szCs w:val="20"/>
          <w:color w:val="auto"/>
        </w:rPr>
      </w:pPr>
    </w:p>
    <w:tbl>
      <w:tblPr>
        <w:tblLayout w:type="fixed"/>
        <w:tblInd w:w="10" w:type="dxa"/>
        <w:tblCellMar>
          <w:top w:w="0" w:type="dxa"/>
          <w:left w:w="0" w:type="dxa"/>
          <w:bottom w:w="0" w:type="dxa"/>
          <w:right w:w="0" w:type="dxa"/>
        </w:tblCellMar>
      </w:tblPr>
      <w:tr>
        <w:trPr>
          <w:trHeight w:val="536"/>
        </w:trPr>
        <w:tc>
          <w:tcPr>
            <w:tcW w:w="1240" w:type="dxa"/>
            <w:vAlign w:val="bottom"/>
            <w:tcBorders>
              <w:top w:val="single" w:sz="8" w:color="auto"/>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姓 名</w:t>
            </w:r>
          </w:p>
        </w:tc>
        <w:tc>
          <w:tcPr>
            <w:tcW w:w="1260" w:type="dxa"/>
            <w:vAlign w:val="bottom"/>
            <w:tcBorders>
              <w:top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出生年月</w:t>
            </w:r>
          </w:p>
        </w:tc>
        <w:tc>
          <w:tcPr>
            <w:tcW w:w="1020" w:type="dxa"/>
            <w:vAlign w:val="bottom"/>
            <w:tcBorders>
              <w:top w:val="single" w:sz="8" w:color="auto"/>
              <w:right w:val="single" w:sz="8" w:color="auto"/>
            </w:tcBorders>
          </w:tcPr>
          <w:p>
            <w:pPr>
              <w:spacing w:after="0"/>
              <w:rPr>
                <w:sz w:val="24"/>
                <w:szCs w:val="24"/>
                <w:color w:val="auto"/>
              </w:rPr>
            </w:pPr>
          </w:p>
        </w:tc>
        <w:tc>
          <w:tcPr>
            <w:tcW w:w="1300" w:type="dxa"/>
            <w:vAlign w:val="bottom"/>
            <w:tcBorders>
              <w:top w:val="single" w:sz="8" w:color="auto"/>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性别</w:t>
            </w:r>
          </w:p>
        </w:tc>
        <w:tc>
          <w:tcPr>
            <w:tcW w:w="74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000" w:type="dxa"/>
            <w:vAlign w:val="bottom"/>
            <w:tcBorders>
              <w:top w:val="single" w:sz="8" w:color="auto"/>
              <w:right w:val="single" w:sz="8" w:color="auto"/>
            </w:tcBorders>
          </w:tcPr>
          <w:p>
            <w:pPr>
              <w:spacing w:after="0"/>
              <w:rPr>
                <w:sz w:val="24"/>
                <w:szCs w:val="24"/>
                <w:color w:val="auto"/>
              </w:rPr>
            </w:pPr>
          </w:p>
        </w:tc>
        <w:tc>
          <w:tcPr>
            <w:tcW w:w="1860" w:type="dxa"/>
            <w:vAlign w:val="bottom"/>
            <w:tcBorders>
              <w:top w:val="single" w:sz="8" w:color="auto"/>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照片</w:t>
            </w:r>
          </w:p>
        </w:tc>
      </w:tr>
      <w:tr>
        <w:trPr>
          <w:trHeight w:val="153"/>
        </w:trPr>
        <w:tc>
          <w:tcPr>
            <w:tcW w:w="1240" w:type="dxa"/>
            <w:vAlign w:val="bottom"/>
            <w:tcBorders>
              <w:left w:val="single" w:sz="8" w:color="auto"/>
              <w:bottom w:val="single" w:sz="8" w:color="auto"/>
              <w:right w:val="single" w:sz="8" w:color="auto"/>
            </w:tcBorders>
          </w:tcPr>
          <w:p>
            <w:pPr>
              <w:spacing w:after="0"/>
              <w:rPr>
                <w:sz w:val="13"/>
                <w:szCs w:val="13"/>
                <w:color w:val="auto"/>
              </w:rPr>
            </w:pPr>
          </w:p>
        </w:tc>
        <w:tc>
          <w:tcPr>
            <w:tcW w:w="1260" w:type="dxa"/>
            <w:vAlign w:val="bottom"/>
            <w:tcBorders>
              <w:bottom w:val="single" w:sz="8" w:color="auto"/>
              <w:right w:val="single" w:sz="8" w:color="auto"/>
            </w:tcBorders>
          </w:tcPr>
          <w:p>
            <w:pPr>
              <w:spacing w:after="0"/>
              <w:rPr>
                <w:sz w:val="13"/>
                <w:szCs w:val="13"/>
                <w:color w:val="auto"/>
              </w:rPr>
            </w:pPr>
          </w:p>
        </w:tc>
        <w:tc>
          <w:tcPr>
            <w:tcW w:w="1320" w:type="dxa"/>
            <w:vAlign w:val="bottom"/>
            <w:tcBorders>
              <w:bottom w:val="single" w:sz="8" w:color="auto"/>
              <w:right w:val="single" w:sz="8" w:color="auto"/>
            </w:tcBorders>
          </w:tcPr>
          <w:p>
            <w:pPr>
              <w:spacing w:after="0"/>
              <w:rPr>
                <w:sz w:val="13"/>
                <w:szCs w:val="13"/>
                <w:color w:val="auto"/>
              </w:rPr>
            </w:pPr>
          </w:p>
        </w:tc>
        <w:tc>
          <w:tcPr>
            <w:tcW w:w="1020" w:type="dxa"/>
            <w:vAlign w:val="bottom"/>
            <w:tcBorders>
              <w:bottom w:val="single" w:sz="8" w:color="auto"/>
              <w:right w:val="single" w:sz="8" w:color="auto"/>
            </w:tcBorders>
          </w:tcPr>
          <w:p>
            <w:pPr>
              <w:spacing w:after="0"/>
              <w:rPr>
                <w:sz w:val="13"/>
                <w:szCs w:val="13"/>
                <w:color w:val="auto"/>
              </w:rPr>
            </w:pPr>
          </w:p>
        </w:tc>
        <w:tc>
          <w:tcPr>
            <w:tcW w:w="760" w:type="dxa"/>
            <w:vAlign w:val="bottom"/>
            <w:tcBorders>
              <w:bottom w:val="single" w:sz="8" w:color="auto"/>
            </w:tcBorders>
          </w:tcPr>
          <w:p>
            <w:pPr>
              <w:spacing w:after="0"/>
              <w:rPr>
                <w:sz w:val="13"/>
                <w:szCs w:val="13"/>
                <w:color w:val="auto"/>
              </w:rPr>
            </w:pPr>
          </w:p>
        </w:tc>
        <w:tc>
          <w:tcPr>
            <w:tcW w:w="540" w:type="dxa"/>
            <w:vAlign w:val="bottom"/>
            <w:tcBorders>
              <w:bottom w:val="single" w:sz="8" w:color="auto"/>
              <w:right w:val="single" w:sz="8" w:color="auto"/>
            </w:tcBorders>
          </w:tcPr>
          <w:p>
            <w:pPr>
              <w:spacing w:after="0"/>
              <w:rPr>
                <w:sz w:val="13"/>
                <w:szCs w:val="13"/>
                <w:color w:val="auto"/>
              </w:rPr>
            </w:pPr>
          </w:p>
        </w:tc>
        <w:tc>
          <w:tcPr>
            <w:tcW w:w="740" w:type="dxa"/>
            <w:vAlign w:val="bottom"/>
            <w:tcBorders>
              <w:bottom w:val="single" w:sz="8" w:color="auto"/>
            </w:tcBorders>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860" w:type="dxa"/>
            <w:vAlign w:val="bottom"/>
            <w:tcBorders>
              <w:right w:val="single" w:sz="8" w:color="auto"/>
            </w:tcBorders>
          </w:tcPr>
          <w:p>
            <w:pPr>
              <w:spacing w:after="0"/>
              <w:rPr>
                <w:sz w:val="13"/>
                <w:szCs w:val="13"/>
                <w:color w:val="auto"/>
              </w:rPr>
            </w:pPr>
          </w:p>
        </w:tc>
      </w:tr>
      <w:tr>
        <w:trPr>
          <w:trHeight w:val="397"/>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民 族</w:t>
            </w:r>
          </w:p>
        </w:tc>
        <w:tc>
          <w:tcPr>
            <w:tcW w:w="126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政治面貌</w:t>
            </w:r>
          </w:p>
        </w:tc>
        <w:tc>
          <w:tcPr>
            <w:tcW w:w="10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学历学位</w:t>
            </w: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167"/>
        </w:trPr>
        <w:tc>
          <w:tcPr>
            <w:tcW w:w="1240" w:type="dxa"/>
            <w:vAlign w:val="bottom"/>
            <w:tcBorders>
              <w:left w:val="single" w:sz="8" w:color="auto"/>
              <w:bottom w:val="single" w:sz="8" w:color="auto"/>
              <w:right w:val="single" w:sz="8" w:color="auto"/>
            </w:tcBorders>
          </w:tcPr>
          <w:p>
            <w:pPr>
              <w:spacing w:after="0"/>
              <w:rPr>
                <w:sz w:val="14"/>
                <w:szCs w:val="14"/>
                <w:color w:val="auto"/>
              </w:rPr>
            </w:pPr>
          </w:p>
        </w:tc>
        <w:tc>
          <w:tcPr>
            <w:tcW w:w="1260" w:type="dxa"/>
            <w:vAlign w:val="bottom"/>
            <w:tcBorders>
              <w:bottom w:val="single" w:sz="8" w:color="auto"/>
              <w:right w:val="single" w:sz="8" w:color="auto"/>
            </w:tcBorders>
          </w:tcPr>
          <w:p>
            <w:pPr>
              <w:spacing w:after="0"/>
              <w:rPr>
                <w:sz w:val="14"/>
                <w:szCs w:val="14"/>
                <w:color w:val="auto"/>
              </w:rPr>
            </w:pPr>
          </w:p>
        </w:tc>
        <w:tc>
          <w:tcPr>
            <w:tcW w:w="1320" w:type="dxa"/>
            <w:vAlign w:val="bottom"/>
            <w:tcBorders>
              <w:bottom w:val="single" w:sz="8" w:color="auto"/>
              <w:right w:val="single" w:sz="8" w:color="auto"/>
            </w:tcBorders>
          </w:tcPr>
          <w:p>
            <w:pPr>
              <w:spacing w:after="0"/>
              <w:rPr>
                <w:sz w:val="14"/>
                <w:szCs w:val="14"/>
                <w:color w:val="auto"/>
              </w:rPr>
            </w:pPr>
          </w:p>
        </w:tc>
        <w:tc>
          <w:tcPr>
            <w:tcW w:w="102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tcBorders>
          </w:tcPr>
          <w:p>
            <w:pPr>
              <w:spacing w:after="0"/>
              <w:rPr>
                <w:sz w:val="14"/>
                <w:szCs w:val="14"/>
                <w:color w:val="auto"/>
              </w:rPr>
            </w:pPr>
          </w:p>
        </w:tc>
        <w:tc>
          <w:tcPr>
            <w:tcW w:w="54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860" w:type="dxa"/>
            <w:vAlign w:val="bottom"/>
            <w:tcBorders>
              <w:right w:val="single" w:sz="8" w:color="auto"/>
            </w:tcBorders>
          </w:tcPr>
          <w:p>
            <w:pPr>
              <w:spacing w:after="0"/>
              <w:rPr>
                <w:sz w:val="14"/>
                <w:szCs w:val="14"/>
                <w:color w:val="auto"/>
              </w:rPr>
            </w:pPr>
          </w:p>
        </w:tc>
      </w:tr>
      <w:tr>
        <w:trPr>
          <w:trHeight w:val="396"/>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rPr>
              <w:t>职 称</w:t>
            </w:r>
          </w:p>
        </w:tc>
        <w:tc>
          <w:tcPr>
            <w:tcW w:w="126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行政职务</w:t>
            </w:r>
          </w:p>
        </w:tc>
        <w:tc>
          <w:tcPr>
            <w:tcW w:w="1020" w:type="dxa"/>
            <w:vAlign w:val="bottom"/>
            <w:tcBorders>
              <w:right w:val="single" w:sz="8" w:color="auto"/>
            </w:tcBorders>
          </w:tcPr>
          <w:p>
            <w:pPr>
              <w:spacing w:after="0"/>
              <w:rPr>
                <w:sz w:val="24"/>
                <w:szCs w:val="24"/>
                <w:color w:val="auto"/>
              </w:rPr>
            </w:pPr>
          </w:p>
        </w:tc>
        <w:tc>
          <w:tcPr>
            <w:tcW w:w="130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专业</w:t>
            </w: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165"/>
        </w:trPr>
        <w:tc>
          <w:tcPr>
            <w:tcW w:w="1240" w:type="dxa"/>
            <w:vAlign w:val="bottom"/>
            <w:tcBorders>
              <w:left w:val="single" w:sz="8" w:color="auto"/>
              <w:bottom w:val="single" w:sz="8" w:color="auto"/>
              <w:right w:val="single" w:sz="8" w:color="auto"/>
            </w:tcBorders>
          </w:tcPr>
          <w:p>
            <w:pPr>
              <w:spacing w:after="0"/>
              <w:rPr>
                <w:sz w:val="14"/>
                <w:szCs w:val="14"/>
                <w:color w:val="auto"/>
              </w:rPr>
            </w:pPr>
          </w:p>
        </w:tc>
        <w:tc>
          <w:tcPr>
            <w:tcW w:w="1260" w:type="dxa"/>
            <w:vAlign w:val="bottom"/>
            <w:tcBorders>
              <w:bottom w:val="single" w:sz="8" w:color="auto"/>
              <w:right w:val="single" w:sz="8" w:color="auto"/>
            </w:tcBorders>
          </w:tcPr>
          <w:p>
            <w:pPr>
              <w:spacing w:after="0"/>
              <w:rPr>
                <w:sz w:val="14"/>
                <w:szCs w:val="14"/>
                <w:color w:val="auto"/>
              </w:rPr>
            </w:pPr>
          </w:p>
        </w:tc>
        <w:tc>
          <w:tcPr>
            <w:tcW w:w="1320" w:type="dxa"/>
            <w:vAlign w:val="bottom"/>
            <w:tcBorders>
              <w:bottom w:val="single" w:sz="8" w:color="auto"/>
              <w:right w:val="single" w:sz="8" w:color="auto"/>
            </w:tcBorders>
          </w:tcPr>
          <w:p>
            <w:pPr>
              <w:spacing w:after="0"/>
              <w:rPr>
                <w:sz w:val="14"/>
                <w:szCs w:val="14"/>
                <w:color w:val="auto"/>
              </w:rPr>
            </w:pPr>
          </w:p>
        </w:tc>
        <w:tc>
          <w:tcPr>
            <w:tcW w:w="102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tcBorders>
          </w:tcPr>
          <w:p>
            <w:pPr>
              <w:spacing w:after="0"/>
              <w:rPr>
                <w:sz w:val="14"/>
                <w:szCs w:val="14"/>
                <w:color w:val="auto"/>
              </w:rPr>
            </w:pPr>
          </w:p>
        </w:tc>
        <w:tc>
          <w:tcPr>
            <w:tcW w:w="54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860" w:type="dxa"/>
            <w:vAlign w:val="bottom"/>
            <w:tcBorders>
              <w:right w:val="single" w:sz="8" w:color="auto"/>
            </w:tcBorders>
          </w:tcPr>
          <w:p>
            <w:pPr>
              <w:spacing w:after="0"/>
              <w:rPr>
                <w:sz w:val="14"/>
                <w:szCs w:val="14"/>
                <w:color w:val="auto"/>
              </w:rPr>
            </w:pPr>
          </w:p>
        </w:tc>
      </w:tr>
      <w:tr>
        <w:trPr>
          <w:trHeight w:val="396"/>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工作单位</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00"/>
              <w:spacing w:after="0" w:line="274" w:lineRule="exact"/>
              <w:rPr>
                <w:sz w:val="20"/>
                <w:szCs w:val="20"/>
                <w:color w:val="auto"/>
              </w:rPr>
            </w:pPr>
            <w:r>
              <w:rPr>
                <w:rFonts w:ascii="宋体" w:cs="宋体" w:eastAsia="宋体" w:hAnsi="宋体"/>
                <w:sz w:val="24"/>
                <w:szCs w:val="24"/>
                <w:color w:val="auto"/>
              </w:rPr>
              <w:t>从事专业</w:t>
            </w:r>
          </w:p>
        </w:tc>
        <w:tc>
          <w:tcPr>
            <w:tcW w:w="100" w:type="dxa"/>
            <w:vAlign w:val="bottom"/>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167"/>
        </w:trPr>
        <w:tc>
          <w:tcPr>
            <w:tcW w:w="1240" w:type="dxa"/>
            <w:vAlign w:val="bottom"/>
            <w:tcBorders>
              <w:left w:val="single" w:sz="8" w:color="auto"/>
              <w:bottom w:val="single" w:sz="8" w:color="auto"/>
              <w:right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13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spacing w:after="0"/>
              <w:rPr>
                <w:sz w:val="14"/>
                <w:szCs w:val="14"/>
                <w:color w:val="auto"/>
              </w:rPr>
            </w:pPr>
          </w:p>
        </w:tc>
        <w:tc>
          <w:tcPr>
            <w:tcW w:w="760" w:type="dxa"/>
            <w:vAlign w:val="bottom"/>
            <w:tcBorders>
              <w:bottom w:val="single" w:sz="8" w:color="auto"/>
              <w:right w:val="single" w:sz="8" w:color="auto"/>
            </w:tcBorders>
          </w:tcPr>
          <w:p>
            <w:pPr>
              <w:spacing w:after="0"/>
              <w:rPr>
                <w:sz w:val="14"/>
                <w:szCs w:val="14"/>
                <w:color w:val="auto"/>
              </w:rPr>
            </w:pPr>
          </w:p>
        </w:tc>
        <w:tc>
          <w:tcPr>
            <w:tcW w:w="540" w:type="dxa"/>
            <w:vAlign w:val="bottom"/>
            <w:tcBorders>
              <w:bottom w:val="single" w:sz="8" w:color="auto"/>
            </w:tcBorders>
          </w:tcPr>
          <w:p>
            <w:pPr>
              <w:spacing w:after="0"/>
              <w:rPr>
                <w:sz w:val="14"/>
                <w:szCs w:val="14"/>
                <w:color w:val="auto"/>
              </w:rPr>
            </w:pPr>
          </w:p>
        </w:tc>
        <w:tc>
          <w:tcPr>
            <w:tcW w:w="740" w:type="dxa"/>
            <w:vAlign w:val="bottom"/>
            <w:tcBorders>
              <w:bottom w:val="single" w:sz="8" w:color="auto"/>
              <w:right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1000" w:type="dxa"/>
            <w:vAlign w:val="bottom"/>
            <w:tcBorders>
              <w:bottom w:val="single" w:sz="8" w:color="auto"/>
              <w:right w:val="single" w:sz="8" w:color="auto"/>
            </w:tcBorders>
          </w:tcPr>
          <w:p>
            <w:pPr>
              <w:spacing w:after="0"/>
              <w:rPr>
                <w:sz w:val="14"/>
                <w:szCs w:val="14"/>
                <w:color w:val="auto"/>
              </w:rPr>
            </w:pPr>
          </w:p>
        </w:tc>
        <w:tc>
          <w:tcPr>
            <w:tcW w:w="1860" w:type="dxa"/>
            <w:vAlign w:val="bottom"/>
            <w:tcBorders>
              <w:bottom w:val="single" w:sz="8" w:color="auto"/>
              <w:right w:val="single" w:sz="8" w:color="auto"/>
            </w:tcBorders>
          </w:tcPr>
          <w:p>
            <w:pPr>
              <w:spacing w:after="0"/>
              <w:rPr>
                <w:sz w:val="14"/>
                <w:szCs w:val="14"/>
                <w:color w:val="auto"/>
              </w:rPr>
            </w:pPr>
          </w:p>
        </w:tc>
      </w:tr>
      <w:tr>
        <w:trPr>
          <w:trHeight w:val="396"/>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办公电话</w:t>
            </w:r>
          </w:p>
        </w:tc>
        <w:tc>
          <w:tcPr>
            <w:tcW w:w="1260" w:type="dxa"/>
            <w:vAlign w:val="bottom"/>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ind w:left="260"/>
              <w:spacing w:after="0" w:line="274" w:lineRule="exact"/>
              <w:rPr>
                <w:sz w:val="20"/>
                <w:szCs w:val="20"/>
                <w:color w:val="auto"/>
              </w:rPr>
            </w:pPr>
            <w:r>
              <w:rPr>
                <w:rFonts w:ascii="宋体" w:cs="宋体" w:eastAsia="宋体" w:hAnsi="宋体"/>
                <w:sz w:val="24"/>
                <w:szCs w:val="24"/>
                <w:color w:val="auto"/>
              </w:rPr>
              <w:t>传真</w:t>
            </w:r>
          </w:p>
        </w:tc>
        <w:tc>
          <w:tcPr>
            <w:tcW w:w="76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gridSpan w:val="2"/>
          </w:tcPr>
          <w:p>
            <w:pPr>
              <w:jc w:val="right"/>
              <w:ind w:right="300"/>
              <w:spacing w:after="0" w:line="274" w:lineRule="exact"/>
              <w:rPr>
                <w:sz w:val="20"/>
                <w:szCs w:val="20"/>
                <w:color w:val="auto"/>
              </w:rPr>
            </w:pPr>
            <w:r>
              <w:rPr>
                <w:rFonts w:ascii="宋体" w:cs="宋体" w:eastAsia="宋体" w:hAnsi="宋体"/>
                <w:sz w:val="24"/>
                <w:szCs w:val="24"/>
                <w:color w:val="auto"/>
              </w:rPr>
              <w:t>手机</w:t>
            </w: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165"/>
        </w:trPr>
        <w:tc>
          <w:tcPr>
            <w:tcW w:w="1240" w:type="dxa"/>
            <w:vAlign w:val="bottom"/>
            <w:tcBorders>
              <w:left w:val="single" w:sz="8" w:color="auto"/>
              <w:bottom w:val="single" w:sz="8" w:color="auto"/>
              <w:right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1320" w:type="dxa"/>
            <w:vAlign w:val="bottom"/>
            <w:tcBorders>
              <w:bottom w:val="single" w:sz="8" w:color="auto"/>
              <w:right w:val="single" w:sz="8" w:color="auto"/>
            </w:tcBorders>
          </w:tcPr>
          <w:p>
            <w:pPr>
              <w:spacing w:after="0"/>
              <w:rPr>
                <w:sz w:val="14"/>
                <w:szCs w:val="14"/>
                <w:color w:val="auto"/>
              </w:rPr>
            </w:pPr>
          </w:p>
        </w:tc>
        <w:tc>
          <w:tcPr>
            <w:tcW w:w="1020" w:type="dxa"/>
            <w:vAlign w:val="bottom"/>
            <w:tcBorders>
              <w:bottom w:val="single" w:sz="8" w:color="auto"/>
              <w:right w:val="single" w:sz="8" w:color="auto"/>
            </w:tcBorders>
          </w:tcPr>
          <w:p>
            <w:pPr>
              <w:spacing w:after="0"/>
              <w:rPr>
                <w:sz w:val="14"/>
                <w:szCs w:val="14"/>
                <w:color w:val="auto"/>
              </w:rPr>
            </w:pPr>
          </w:p>
        </w:tc>
        <w:tc>
          <w:tcPr>
            <w:tcW w:w="760" w:type="dxa"/>
            <w:vAlign w:val="bottom"/>
            <w:tcBorders>
              <w:bottom w:val="single" w:sz="8" w:color="auto"/>
            </w:tcBorders>
          </w:tcPr>
          <w:p>
            <w:pPr>
              <w:spacing w:after="0"/>
              <w:rPr>
                <w:sz w:val="14"/>
                <w:szCs w:val="14"/>
                <w:color w:val="auto"/>
              </w:rPr>
            </w:pPr>
          </w:p>
        </w:tc>
        <w:tc>
          <w:tcPr>
            <w:tcW w:w="540" w:type="dxa"/>
            <w:vAlign w:val="bottom"/>
            <w:tcBorders>
              <w:bottom w:val="single" w:sz="8" w:color="auto"/>
              <w:right w:val="single" w:sz="8" w:color="auto"/>
            </w:tcBorders>
          </w:tcPr>
          <w:p>
            <w:pPr>
              <w:spacing w:after="0"/>
              <w:rPr>
                <w:sz w:val="14"/>
                <w:szCs w:val="14"/>
                <w:color w:val="auto"/>
              </w:rPr>
            </w:pPr>
          </w:p>
        </w:tc>
        <w:tc>
          <w:tcPr>
            <w:tcW w:w="740" w:type="dxa"/>
            <w:vAlign w:val="bottom"/>
            <w:tcBorders>
              <w:bottom w:val="single" w:sz="8" w:color="auto"/>
            </w:tcBorders>
          </w:tcPr>
          <w:p>
            <w:pPr>
              <w:spacing w:after="0"/>
              <w:rPr>
                <w:sz w:val="14"/>
                <w:szCs w:val="14"/>
                <w:color w:val="auto"/>
              </w:rPr>
            </w:pPr>
          </w:p>
        </w:tc>
        <w:tc>
          <w:tcPr>
            <w:tcW w:w="100" w:type="dxa"/>
            <w:vAlign w:val="bottom"/>
            <w:tcBorders>
              <w:bottom w:val="single" w:sz="8" w:color="auto"/>
              <w:right w:val="single" w:sz="8" w:color="auto"/>
            </w:tcBorders>
          </w:tcPr>
          <w:p>
            <w:pPr>
              <w:spacing w:after="0"/>
              <w:rPr>
                <w:sz w:val="14"/>
                <w:szCs w:val="14"/>
                <w:color w:val="auto"/>
              </w:rPr>
            </w:pPr>
          </w:p>
        </w:tc>
        <w:tc>
          <w:tcPr>
            <w:tcW w:w="1000" w:type="dxa"/>
            <w:vAlign w:val="bottom"/>
            <w:tcBorders>
              <w:bottom w:val="single" w:sz="8" w:color="auto"/>
            </w:tcBorders>
          </w:tcPr>
          <w:p>
            <w:pPr>
              <w:spacing w:after="0"/>
              <w:rPr>
                <w:sz w:val="14"/>
                <w:szCs w:val="14"/>
                <w:color w:val="auto"/>
              </w:rPr>
            </w:pPr>
          </w:p>
        </w:tc>
        <w:tc>
          <w:tcPr>
            <w:tcW w:w="1860" w:type="dxa"/>
            <w:vAlign w:val="bottom"/>
            <w:tcBorders>
              <w:bottom w:val="single" w:sz="8" w:color="auto"/>
              <w:right w:val="single" w:sz="8" w:color="auto"/>
            </w:tcBorders>
          </w:tcPr>
          <w:p>
            <w:pPr>
              <w:spacing w:after="0"/>
              <w:rPr>
                <w:sz w:val="14"/>
                <w:szCs w:val="14"/>
                <w:color w:val="auto"/>
              </w:rPr>
            </w:pPr>
          </w:p>
        </w:tc>
      </w:tr>
      <w:tr>
        <w:trPr>
          <w:trHeight w:val="391"/>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E-MAIL</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1260" w:type="dxa"/>
            <w:vAlign w:val="bottom"/>
            <w:tcBorders>
              <w:bottom w:val="single" w:sz="8" w:color="auto"/>
            </w:tcBorders>
          </w:tcPr>
          <w:p>
            <w:pPr>
              <w:spacing w:after="0"/>
              <w:rPr>
                <w:sz w:val="20"/>
                <w:szCs w:val="20"/>
                <w:color w:val="auto"/>
              </w:rPr>
            </w:pPr>
          </w:p>
        </w:tc>
        <w:tc>
          <w:tcPr>
            <w:tcW w:w="1320" w:type="dxa"/>
            <w:vAlign w:val="bottom"/>
            <w:tcBorders>
              <w:bottom w:val="single" w:sz="8" w:color="auto"/>
            </w:tcBorders>
          </w:tcPr>
          <w:p>
            <w:pPr>
              <w:spacing w:after="0"/>
              <w:rPr>
                <w:sz w:val="20"/>
                <w:szCs w:val="20"/>
                <w:color w:val="auto"/>
              </w:rPr>
            </w:pPr>
          </w:p>
        </w:tc>
        <w:tc>
          <w:tcPr>
            <w:tcW w:w="1020" w:type="dxa"/>
            <w:vAlign w:val="bottom"/>
            <w:tcBorders>
              <w:bottom w:val="single" w:sz="8" w:color="auto"/>
            </w:tcBorders>
          </w:tcPr>
          <w:p>
            <w:pPr>
              <w:spacing w:after="0"/>
              <w:rPr>
                <w:sz w:val="20"/>
                <w:szCs w:val="20"/>
                <w:color w:val="auto"/>
              </w:rPr>
            </w:pPr>
          </w:p>
        </w:tc>
        <w:tc>
          <w:tcPr>
            <w:tcW w:w="760" w:type="dxa"/>
            <w:vAlign w:val="bottom"/>
            <w:tcBorders>
              <w:bottom w:val="single" w:sz="8" w:color="auto"/>
            </w:tcBorders>
          </w:tcPr>
          <w:p>
            <w:pPr>
              <w:spacing w:after="0"/>
              <w:rPr>
                <w:sz w:val="20"/>
                <w:szCs w:val="20"/>
                <w:color w:val="auto"/>
              </w:rPr>
            </w:pPr>
          </w:p>
        </w:tc>
        <w:tc>
          <w:tcPr>
            <w:tcW w:w="540" w:type="dxa"/>
            <w:vAlign w:val="bottom"/>
            <w:tcBorders>
              <w:bottom w:val="single" w:sz="8" w:color="auto"/>
            </w:tcBorders>
          </w:tcPr>
          <w:p>
            <w:pPr>
              <w:spacing w:after="0"/>
              <w:rPr>
                <w:sz w:val="20"/>
                <w:szCs w:val="20"/>
                <w:color w:val="auto"/>
              </w:rPr>
            </w:pPr>
          </w:p>
        </w:tc>
        <w:tc>
          <w:tcPr>
            <w:tcW w:w="74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000" w:type="dxa"/>
            <w:vAlign w:val="bottom"/>
            <w:tcBorders>
              <w:bottom w:val="single" w:sz="8" w:color="auto"/>
            </w:tcBorders>
          </w:tcPr>
          <w:p>
            <w:pPr>
              <w:spacing w:after="0"/>
              <w:rPr>
                <w:sz w:val="20"/>
                <w:szCs w:val="20"/>
                <w:color w:val="auto"/>
              </w:rPr>
            </w:pPr>
          </w:p>
        </w:tc>
        <w:tc>
          <w:tcPr>
            <w:tcW w:w="1860" w:type="dxa"/>
            <w:vAlign w:val="bottom"/>
            <w:tcBorders>
              <w:bottom w:val="single" w:sz="8" w:color="auto"/>
              <w:right w:val="single" w:sz="8" w:color="auto"/>
            </w:tcBorders>
          </w:tcPr>
          <w:p>
            <w:pPr>
              <w:spacing w:after="0"/>
              <w:rPr>
                <w:sz w:val="20"/>
                <w:szCs w:val="20"/>
                <w:color w:val="auto"/>
              </w:rPr>
            </w:pPr>
          </w:p>
        </w:tc>
      </w:tr>
      <w:tr>
        <w:trPr>
          <w:trHeight w:val="521"/>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主要</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591"/>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研究领域</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287"/>
        </w:trPr>
        <w:tc>
          <w:tcPr>
            <w:tcW w:w="1240" w:type="dxa"/>
            <w:vAlign w:val="bottom"/>
            <w:tcBorders>
              <w:left w:val="single" w:sz="8" w:color="auto"/>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1860" w:type="dxa"/>
            <w:vAlign w:val="bottom"/>
            <w:tcBorders>
              <w:bottom w:val="single" w:sz="8" w:color="auto"/>
              <w:right w:val="single" w:sz="8" w:color="auto"/>
            </w:tcBorders>
          </w:tcPr>
          <w:p>
            <w:pPr>
              <w:spacing w:after="0"/>
              <w:rPr>
                <w:sz w:val="24"/>
                <w:szCs w:val="24"/>
                <w:color w:val="auto"/>
              </w:rPr>
            </w:pPr>
          </w:p>
        </w:tc>
      </w:tr>
      <w:tr>
        <w:trPr>
          <w:trHeight w:val="374"/>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取得主要</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312"/>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学术成就</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590"/>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（获奖成</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312"/>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3"/>
              </w:rPr>
              <w:t>果、专利、</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312"/>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著作、论</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310"/>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文、学术</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312"/>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任职等）</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144"/>
        </w:trPr>
        <w:tc>
          <w:tcPr>
            <w:tcW w:w="1240" w:type="dxa"/>
            <w:vAlign w:val="bottom"/>
            <w:tcBorders>
              <w:left w:val="single" w:sz="8" w:color="auto"/>
              <w:bottom w:val="single" w:sz="8" w:color="auto"/>
              <w:right w:val="single" w:sz="8" w:color="auto"/>
            </w:tcBorders>
          </w:tcPr>
          <w:p>
            <w:pPr>
              <w:spacing w:after="0"/>
              <w:rPr>
                <w:sz w:val="12"/>
                <w:szCs w:val="12"/>
                <w:color w:val="auto"/>
              </w:rPr>
            </w:pPr>
          </w:p>
        </w:tc>
        <w:tc>
          <w:tcPr>
            <w:tcW w:w="1260" w:type="dxa"/>
            <w:vAlign w:val="bottom"/>
            <w:tcBorders>
              <w:bottom w:val="single" w:sz="8" w:color="auto"/>
            </w:tcBorders>
          </w:tcPr>
          <w:p>
            <w:pPr>
              <w:spacing w:after="0"/>
              <w:rPr>
                <w:sz w:val="12"/>
                <w:szCs w:val="12"/>
                <w:color w:val="auto"/>
              </w:rPr>
            </w:pPr>
          </w:p>
        </w:tc>
        <w:tc>
          <w:tcPr>
            <w:tcW w:w="1320" w:type="dxa"/>
            <w:vAlign w:val="bottom"/>
            <w:tcBorders>
              <w:bottom w:val="single" w:sz="8" w:color="auto"/>
            </w:tcBorders>
          </w:tcPr>
          <w:p>
            <w:pPr>
              <w:spacing w:after="0"/>
              <w:rPr>
                <w:sz w:val="12"/>
                <w:szCs w:val="12"/>
                <w:color w:val="auto"/>
              </w:rPr>
            </w:pPr>
          </w:p>
        </w:tc>
        <w:tc>
          <w:tcPr>
            <w:tcW w:w="1020" w:type="dxa"/>
            <w:vAlign w:val="bottom"/>
            <w:tcBorders>
              <w:bottom w:val="single" w:sz="8" w:color="auto"/>
            </w:tcBorders>
          </w:tcPr>
          <w:p>
            <w:pPr>
              <w:spacing w:after="0"/>
              <w:rPr>
                <w:sz w:val="12"/>
                <w:szCs w:val="12"/>
                <w:color w:val="auto"/>
              </w:rPr>
            </w:pPr>
          </w:p>
        </w:tc>
        <w:tc>
          <w:tcPr>
            <w:tcW w:w="760" w:type="dxa"/>
            <w:vAlign w:val="bottom"/>
            <w:tcBorders>
              <w:bottom w:val="single" w:sz="8" w:color="auto"/>
            </w:tcBorders>
          </w:tcPr>
          <w:p>
            <w:pPr>
              <w:spacing w:after="0"/>
              <w:rPr>
                <w:sz w:val="12"/>
                <w:szCs w:val="12"/>
                <w:color w:val="auto"/>
              </w:rPr>
            </w:pPr>
          </w:p>
        </w:tc>
        <w:tc>
          <w:tcPr>
            <w:tcW w:w="540" w:type="dxa"/>
            <w:vAlign w:val="bottom"/>
            <w:tcBorders>
              <w:bottom w:val="single" w:sz="8" w:color="auto"/>
            </w:tcBorders>
          </w:tcPr>
          <w:p>
            <w:pPr>
              <w:spacing w:after="0"/>
              <w:rPr>
                <w:sz w:val="12"/>
                <w:szCs w:val="12"/>
                <w:color w:val="auto"/>
              </w:rPr>
            </w:pPr>
          </w:p>
        </w:tc>
        <w:tc>
          <w:tcPr>
            <w:tcW w:w="740" w:type="dxa"/>
            <w:vAlign w:val="bottom"/>
            <w:tcBorders>
              <w:bottom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1000" w:type="dxa"/>
            <w:vAlign w:val="bottom"/>
            <w:tcBorders>
              <w:bottom w:val="single" w:sz="8" w:color="auto"/>
            </w:tcBorders>
          </w:tcPr>
          <w:p>
            <w:pPr>
              <w:spacing w:after="0"/>
              <w:rPr>
                <w:sz w:val="12"/>
                <w:szCs w:val="12"/>
                <w:color w:val="auto"/>
              </w:rPr>
            </w:pPr>
          </w:p>
        </w:tc>
        <w:tc>
          <w:tcPr>
            <w:tcW w:w="1860" w:type="dxa"/>
            <w:vAlign w:val="bottom"/>
            <w:tcBorders>
              <w:bottom w:val="single" w:sz="8" w:color="auto"/>
              <w:right w:val="single" w:sz="8" w:color="auto"/>
            </w:tcBorders>
          </w:tcPr>
          <w:p>
            <w:pPr>
              <w:spacing w:after="0"/>
              <w:rPr>
                <w:sz w:val="12"/>
                <w:szCs w:val="12"/>
                <w:color w:val="auto"/>
              </w:rPr>
            </w:pPr>
          </w:p>
        </w:tc>
      </w:tr>
      <w:tr>
        <w:trPr>
          <w:trHeight w:val="799"/>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推荐单位</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389"/>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意见</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475"/>
        </w:trPr>
        <w:tc>
          <w:tcPr>
            <w:tcW w:w="1240" w:type="dxa"/>
            <w:vAlign w:val="bottom"/>
            <w:tcBorders>
              <w:left w:val="single" w:sz="8" w:color="auto"/>
              <w:right w:val="single" w:sz="8" w:color="auto"/>
            </w:tcBorders>
          </w:tcPr>
          <w:p>
            <w:pPr>
              <w:spacing w:after="0"/>
              <w:rPr>
                <w:sz w:val="24"/>
                <w:szCs w:val="24"/>
                <w:color w:val="auto"/>
              </w:rPr>
            </w:pP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140" w:type="dxa"/>
            <w:vAlign w:val="bottom"/>
            <w:gridSpan w:val="5"/>
          </w:tcPr>
          <w:p>
            <w:pPr>
              <w:ind w:left="320"/>
              <w:spacing w:after="0" w:line="274" w:lineRule="exact"/>
              <w:rPr>
                <w:sz w:val="20"/>
                <w:szCs w:val="20"/>
                <w:color w:val="auto"/>
              </w:rPr>
            </w:pPr>
            <w:r>
              <w:rPr>
                <w:rFonts w:ascii="宋体" w:cs="宋体" w:eastAsia="宋体" w:hAnsi="宋体"/>
                <w:sz w:val="24"/>
                <w:szCs w:val="24"/>
                <w:color w:val="auto"/>
              </w:rPr>
              <w:t>签名（单位盖章）：</w:t>
            </w:r>
          </w:p>
        </w:tc>
        <w:tc>
          <w:tcPr>
            <w:tcW w:w="1860" w:type="dxa"/>
            <w:vAlign w:val="bottom"/>
            <w:tcBorders>
              <w:right w:val="single" w:sz="8" w:color="auto"/>
            </w:tcBorders>
          </w:tcPr>
          <w:p>
            <w:pPr>
              <w:spacing w:after="0"/>
              <w:rPr>
                <w:sz w:val="24"/>
                <w:szCs w:val="24"/>
                <w:color w:val="auto"/>
              </w:rPr>
            </w:pPr>
          </w:p>
        </w:tc>
      </w:tr>
      <w:tr>
        <w:trPr>
          <w:trHeight w:val="167"/>
        </w:trPr>
        <w:tc>
          <w:tcPr>
            <w:tcW w:w="1240" w:type="dxa"/>
            <w:vAlign w:val="bottom"/>
            <w:tcBorders>
              <w:left w:val="single" w:sz="8" w:color="auto"/>
              <w:bottom w:val="single" w:sz="8" w:color="auto"/>
              <w:right w:val="single" w:sz="8" w:color="auto"/>
            </w:tcBorders>
          </w:tcPr>
          <w:p>
            <w:pPr>
              <w:spacing w:after="0"/>
              <w:rPr>
                <w:sz w:val="14"/>
                <w:szCs w:val="14"/>
                <w:color w:val="auto"/>
              </w:rPr>
            </w:pPr>
          </w:p>
        </w:tc>
        <w:tc>
          <w:tcPr>
            <w:tcW w:w="1260" w:type="dxa"/>
            <w:vAlign w:val="bottom"/>
            <w:tcBorders>
              <w:bottom w:val="single" w:sz="8" w:color="auto"/>
            </w:tcBorders>
          </w:tcPr>
          <w:p>
            <w:pPr>
              <w:spacing w:after="0"/>
              <w:rPr>
                <w:sz w:val="14"/>
                <w:szCs w:val="14"/>
                <w:color w:val="auto"/>
              </w:rPr>
            </w:pPr>
          </w:p>
        </w:tc>
        <w:tc>
          <w:tcPr>
            <w:tcW w:w="13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spacing w:after="0"/>
              <w:rPr>
                <w:sz w:val="14"/>
                <w:szCs w:val="14"/>
                <w:color w:val="auto"/>
              </w:rPr>
            </w:pPr>
          </w:p>
        </w:tc>
        <w:tc>
          <w:tcPr>
            <w:tcW w:w="760" w:type="dxa"/>
            <w:vAlign w:val="bottom"/>
            <w:tcBorders>
              <w:bottom w:val="single" w:sz="8" w:color="auto"/>
            </w:tcBorders>
          </w:tcPr>
          <w:p>
            <w:pPr>
              <w:spacing w:after="0"/>
              <w:rPr>
                <w:sz w:val="14"/>
                <w:szCs w:val="14"/>
                <w:color w:val="auto"/>
              </w:rPr>
            </w:pPr>
          </w:p>
        </w:tc>
        <w:tc>
          <w:tcPr>
            <w:tcW w:w="540" w:type="dxa"/>
            <w:vAlign w:val="bottom"/>
            <w:tcBorders>
              <w:bottom w:val="single" w:sz="8" w:color="auto"/>
            </w:tcBorders>
          </w:tcPr>
          <w:p>
            <w:pPr>
              <w:spacing w:after="0"/>
              <w:rPr>
                <w:sz w:val="14"/>
                <w:szCs w:val="14"/>
                <w:color w:val="auto"/>
              </w:rPr>
            </w:pPr>
          </w:p>
        </w:tc>
        <w:tc>
          <w:tcPr>
            <w:tcW w:w="740" w:type="dxa"/>
            <w:vAlign w:val="bottom"/>
            <w:tcBorders>
              <w:bottom w:val="single" w:sz="8" w:color="auto"/>
            </w:tcBorders>
          </w:tcPr>
          <w:p>
            <w:pPr>
              <w:spacing w:after="0"/>
              <w:rPr>
                <w:sz w:val="14"/>
                <w:szCs w:val="14"/>
                <w:color w:val="auto"/>
              </w:rPr>
            </w:pPr>
          </w:p>
        </w:tc>
        <w:tc>
          <w:tcPr>
            <w:tcW w:w="100" w:type="dxa"/>
            <w:vAlign w:val="bottom"/>
            <w:tcBorders>
              <w:bottom w:val="single" w:sz="8" w:color="auto"/>
            </w:tcBorders>
          </w:tcPr>
          <w:p>
            <w:pPr>
              <w:spacing w:after="0"/>
              <w:rPr>
                <w:sz w:val="14"/>
                <w:szCs w:val="14"/>
                <w:color w:val="auto"/>
              </w:rPr>
            </w:pPr>
          </w:p>
        </w:tc>
        <w:tc>
          <w:tcPr>
            <w:tcW w:w="1000" w:type="dxa"/>
            <w:vAlign w:val="bottom"/>
            <w:tcBorders>
              <w:bottom w:val="single" w:sz="8" w:color="auto"/>
            </w:tcBorders>
          </w:tcPr>
          <w:p>
            <w:pPr>
              <w:spacing w:after="0"/>
              <w:rPr>
                <w:sz w:val="14"/>
                <w:szCs w:val="14"/>
                <w:color w:val="auto"/>
              </w:rPr>
            </w:pPr>
          </w:p>
        </w:tc>
        <w:tc>
          <w:tcPr>
            <w:tcW w:w="1860" w:type="dxa"/>
            <w:vAlign w:val="bottom"/>
            <w:tcBorders>
              <w:bottom w:val="single" w:sz="8" w:color="auto"/>
              <w:right w:val="single" w:sz="8" w:color="auto"/>
            </w:tcBorders>
          </w:tcPr>
          <w:p>
            <w:pPr>
              <w:spacing w:after="0"/>
              <w:rPr>
                <w:sz w:val="14"/>
                <w:szCs w:val="14"/>
                <w:color w:val="auto"/>
              </w:rPr>
            </w:pPr>
          </w:p>
        </w:tc>
      </w:tr>
      <w:tr>
        <w:trPr>
          <w:trHeight w:val="744"/>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市评审办</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670"/>
        </w:trPr>
        <w:tc>
          <w:tcPr>
            <w:tcW w:w="124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审查意见</w:t>
            </w:r>
          </w:p>
        </w:tc>
        <w:tc>
          <w:tcPr>
            <w:tcW w:w="12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r>
      <w:tr>
        <w:trPr>
          <w:trHeight w:val="590"/>
        </w:trPr>
        <w:tc>
          <w:tcPr>
            <w:tcW w:w="1240" w:type="dxa"/>
            <w:vAlign w:val="bottom"/>
            <w:tcBorders>
              <w:left w:val="single" w:sz="8" w:color="auto"/>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186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9840"/>
          </w:cols>
          <w:pgMar w:left="1040" w:top="1440" w:right="1026" w:bottom="652" w:gutter="0" w:footer="0" w:header="0"/>
        </w:sectPr>
      </w:pPr>
    </w:p>
    <w:bookmarkStart w:id="3" w:name="page4"/>
    <w:bookmarkEnd w:id="3"/>
    <w:p>
      <w:pPr>
        <w:spacing w:after="0" w:line="263"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659765</wp:posOffset>
                </wp:positionH>
                <wp:positionV relativeFrom="page">
                  <wp:posOffset>1080135</wp:posOffset>
                </wp:positionV>
                <wp:extent cx="0" cy="36004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6004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95pt,85.05pt" to="51.95pt,113.4pt" o:allowincell="f" strokecolor="#000000" strokeweight="0.72pt">
                <w10:wrap anchorx="page" anchory="page"/>
              </v:line>
            </w:pict>
          </mc:Fallback>
        </mc:AlternateContent>
        <mc:AlternateContent>
          <mc:Choice Requires="wps">
            <w:drawing>
              <wp:anchor simplePos="0" relativeHeight="251657728" behindDoc="1" locked="0" layoutInCell="0" allowOverlap="1">
                <wp:simplePos x="0" y="0"/>
                <wp:positionH relativeFrom="page">
                  <wp:posOffset>1438910</wp:posOffset>
                </wp:positionH>
                <wp:positionV relativeFrom="page">
                  <wp:posOffset>1080135</wp:posOffset>
                </wp:positionV>
                <wp:extent cx="0" cy="36004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6004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3.3pt,85.05pt" to="113.3pt,113.4pt" o:allowincell="f" strokecolor="#000000" strokeweight="0.72pt">
                <w10:wrap anchorx="page" anchory="page"/>
              </v:line>
            </w:pict>
          </mc:Fallback>
        </mc:AlternateContent>
        <mc:AlternateContent>
          <mc:Choice Requires="wps">
            <w:drawing>
              <wp:anchor simplePos="0" relativeHeight="251657728" behindDoc="1" locked="0" layoutInCell="0" allowOverlap="1">
                <wp:simplePos x="0" y="0"/>
                <wp:positionH relativeFrom="page">
                  <wp:posOffset>6900545</wp:posOffset>
                </wp:positionH>
                <wp:positionV relativeFrom="page">
                  <wp:posOffset>1080135</wp:posOffset>
                </wp:positionV>
                <wp:extent cx="0" cy="36004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6004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3.35pt,85.05pt" to="543.35pt,113.4pt" o:allowincell="f" strokecolor="#000000" strokeweight="0.72pt">
                <w10:wrap anchorx="page" anchory="page"/>
              </v:line>
            </w:pict>
          </mc:Fallback>
        </mc:AlternateContent>
      </w:r>
    </w:p>
    <w:p>
      <w:pPr>
        <w:ind w:left="5200"/>
        <w:spacing w:after="0" w:line="274" w:lineRule="exact"/>
        <w:rPr>
          <w:sz w:val="20"/>
          <w:szCs w:val="20"/>
          <w:color w:val="auto"/>
        </w:rPr>
      </w:pPr>
      <w:r>
        <w:rPr>
          <w:rFonts w:ascii="宋体" w:cs="宋体" w:eastAsia="宋体" w:hAnsi="宋体"/>
          <w:sz w:val="24"/>
          <w:szCs w:val="24"/>
          <w:color w:val="auto"/>
        </w:rPr>
        <w:t>签名（盖章）</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-68580</wp:posOffset>
                </wp:positionH>
                <wp:positionV relativeFrom="paragraph">
                  <wp:posOffset>180340</wp:posOffset>
                </wp:positionV>
                <wp:extent cx="624967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4967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9pt,14.2pt" to="486.7pt,14.2pt" o:allowincell="f" strokecolor="#000000" strokeweight="0.71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ind w:left="140"/>
        <w:spacing w:after="0" w:line="320" w:lineRule="exact"/>
        <w:rPr>
          <w:sz w:val="20"/>
          <w:szCs w:val="20"/>
          <w:color w:val="auto"/>
        </w:rPr>
      </w:pPr>
      <w:r>
        <w:rPr>
          <w:rFonts w:ascii="黑体" w:cs="黑体" w:eastAsia="黑体" w:hAnsi="黑体"/>
          <w:sz w:val="28"/>
          <w:szCs w:val="28"/>
          <w:color w:val="111111"/>
        </w:rPr>
        <w:t>附件 2：</w:t>
      </w:r>
    </w:p>
    <w:p>
      <w:pPr>
        <w:spacing w:after="0" w:line="131" w:lineRule="exact"/>
        <w:rPr>
          <w:sz w:val="20"/>
          <w:szCs w:val="20"/>
          <w:color w:val="auto"/>
        </w:rPr>
      </w:pPr>
    </w:p>
    <w:p>
      <w:pPr>
        <w:ind w:left="1080"/>
        <w:spacing w:after="0" w:line="502" w:lineRule="exact"/>
        <w:rPr>
          <w:sz w:val="20"/>
          <w:szCs w:val="20"/>
          <w:color w:val="auto"/>
        </w:rPr>
      </w:pPr>
      <w:r>
        <w:rPr>
          <w:rFonts w:ascii="宋体" w:cs="宋体" w:eastAsia="宋体" w:hAnsi="宋体"/>
          <w:sz w:val="44"/>
          <w:szCs w:val="44"/>
          <w:b w:val="1"/>
          <w:bCs w:val="1"/>
          <w:color w:val="auto"/>
        </w:rPr>
        <w:t>珠海市高端学术交流资助办法（试行）</w:t>
      </w: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140"/>
        <w:spacing w:after="0" w:line="366" w:lineRule="exact"/>
        <w:tabs>
          <w:tab w:leader="none" w:pos="300" w:val="left"/>
          <w:tab w:leader="none" w:pos="300" w:val="left"/>
        </w:tabs>
        <w:rPr>
          <w:sz w:val="20"/>
          <w:szCs w:val="20"/>
          <w:color w:val="auto"/>
        </w:rPr>
      </w:pPr>
      <w:r>
        <w:rPr>
          <w:rFonts w:ascii="黑体" w:cs="黑体" w:eastAsia="黑体" w:hAnsi="黑体"/>
          <w:sz w:val="32"/>
          <w:szCs w:val="32"/>
          <w:color w:val="auto"/>
        </w:rPr>
        <w:t>第一章</w:t>
        <w:tab/>
        <w:t>总</w:t>
        <w:tab/>
        <w:t>则</w:t>
      </w:r>
    </w:p>
    <w:p>
      <w:pPr>
        <w:spacing w:after="0" w:line="116" w:lineRule="exact"/>
        <w:rPr>
          <w:sz w:val="20"/>
          <w:szCs w:val="20"/>
          <w:color w:val="auto"/>
        </w:rPr>
      </w:pPr>
    </w:p>
    <w:p>
      <w:pPr>
        <w:jc w:val="both"/>
        <w:ind w:right="140" w:firstLine="627"/>
        <w:spacing w:after="0" w:line="523" w:lineRule="exact"/>
        <w:rPr>
          <w:sz w:val="20"/>
          <w:szCs w:val="20"/>
          <w:color w:val="auto"/>
        </w:rPr>
      </w:pPr>
      <w:r>
        <w:rPr>
          <w:rFonts w:ascii="宋体" w:cs="宋体" w:eastAsia="宋体" w:hAnsi="宋体"/>
          <w:sz w:val="32"/>
          <w:szCs w:val="32"/>
          <w:b w:val="1"/>
          <w:bCs w:val="1"/>
          <w:color w:val="auto"/>
        </w:rPr>
        <w:t xml:space="preserve">第一条 </w:t>
      </w:r>
      <w:r>
        <w:rPr>
          <w:rFonts w:ascii="宋体" w:cs="宋体" w:eastAsia="宋体" w:hAnsi="宋体"/>
          <w:sz w:val="32"/>
          <w:szCs w:val="32"/>
          <w:color w:val="auto"/>
        </w:rPr>
        <w:t>为营造良好学术氛围，支持高端学术交流，提升我市科技学术能力和水平，促进创新人才成长，服务创新驱动发展，助推珠海</w:t>
      </w:r>
      <w:r>
        <w:rPr>
          <w:rFonts w:ascii="Arial" w:cs="Arial" w:eastAsia="Arial" w:hAnsi="Arial"/>
          <w:sz w:val="32"/>
          <w:szCs w:val="32"/>
          <w:color w:val="auto"/>
        </w:rPr>
        <w:t>“</w:t>
      </w:r>
      <w:r>
        <w:rPr>
          <w:rFonts w:ascii="宋体" w:cs="宋体" w:eastAsia="宋体" w:hAnsi="宋体"/>
          <w:sz w:val="32"/>
          <w:szCs w:val="32"/>
          <w:color w:val="auto"/>
        </w:rPr>
        <w:t>二次创业</w:t>
      </w:r>
      <w:r>
        <w:rPr>
          <w:rFonts w:ascii="Arial" w:cs="Arial" w:eastAsia="Arial" w:hAnsi="Arial"/>
          <w:sz w:val="32"/>
          <w:szCs w:val="32"/>
          <w:color w:val="auto"/>
        </w:rPr>
        <w:t>”</w:t>
      </w:r>
      <w:r>
        <w:rPr>
          <w:rFonts w:ascii="宋体" w:cs="宋体" w:eastAsia="宋体" w:hAnsi="宋体"/>
          <w:sz w:val="32"/>
          <w:szCs w:val="32"/>
          <w:color w:val="auto"/>
        </w:rPr>
        <w:t>，根据市委、市政府《关于实施</w:t>
      </w:r>
      <w:r>
        <w:rPr>
          <w:rFonts w:ascii="Arial" w:cs="Arial" w:eastAsia="Arial" w:hAnsi="Arial"/>
          <w:sz w:val="32"/>
          <w:szCs w:val="32"/>
          <w:color w:val="auto"/>
        </w:rPr>
        <w:t>“</w:t>
      </w:r>
      <w:r>
        <w:rPr>
          <w:rFonts w:ascii="宋体" w:cs="宋体" w:eastAsia="宋体" w:hAnsi="宋体"/>
          <w:sz w:val="32"/>
          <w:szCs w:val="32"/>
          <w:color w:val="auto"/>
        </w:rPr>
        <w:t>珠海英才计划</w:t>
      </w:r>
      <w:r>
        <w:rPr>
          <w:rFonts w:ascii="Arial" w:cs="Arial" w:eastAsia="Arial" w:hAnsi="Arial"/>
          <w:sz w:val="32"/>
          <w:szCs w:val="32"/>
          <w:color w:val="auto"/>
        </w:rPr>
        <w:t>”</w:t>
      </w:r>
      <w:r>
        <w:rPr>
          <w:rFonts w:ascii="宋体" w:cs="宋体" w:eastAsia="宋体" w:hAnsi="宋体"/>
          <w:sz w:val="32"/>
          <w:szCs w:val="32"/>
          <w:color w:val="auto"/>
        </w:rPr>
        <w:t>加快集聚新时代创新创业人才的若干措施的通知》（试行）精神，制定本办法。</w:t>
      </w:r>
    </w:p>
    <w:p>
      <w:pPr>
        <w:spacing w:after="0" w:line="135" w:lineRule="exact"/>
        <w:rPr>
          <w:sz w:val="20"/>
          <w:szCs w:val="20"/>
          <w:color w:val="auto"/>
        </w:rPr>
      </w:pPr>
    </w:p>
    <w:p>
      <w:pPr>
        <w:jc w:val="both"/>
        <w:ind w:right="140" w:firstLine="641"/>
        <w:spacing w:after="0" w:line="516" w:lineRule="exact"/>
        <w:rPr>
          <w:sz w:val="20"/>
          <w:szCs w:val="20"/>
          <w:color w:val="auto"/>
        </w:rPr>
      </w:pPr>
      <w:r>
        <w:rPr>
          <w:rFonts w:ascii="宋体" w:cs="宋体" w:eastAsia="宋体" w:hAnsi="宋体"/>
          <w:sz w:val="32"/>
          <w:szCs w:val="32"/>
          <w:b w:val="1"/>
          <w:bCs w:val="1"/>
          <w:color w:val="auto"/>
        </w:rPr>
        <w:t xml:space="preserve">第二条 </w:t>
      </w:r>
      <w:r>
        <w:rPr>
          <w:rFonts w:ascii="宋体" w:cs="宋体" w:eastAsia="宋体" w:hAnsi="宋体"/>
          <w:sz w:val="32"/>
          <w:szCs w:val="32"/>
          <w:color w:val="auto"/>
        </w:rPr>
        <w:t>珠海市高端学术交流资助对象指在我市举办，并由我市学术团体、科研机构、高等院校、科技型创新企业等科技类创新主体（不含行政机关）主办或参与的具有国内外影响的科技及相关产业高端学术交流活动。</w:t>
      </w:r>
    </w:p>
    <w:p>
      <w:pPr>
        <w:spacing w:after="0" w:line="132" w:lineRule="exact"/>
        <w:rPr>
          <w:sz w:val="20"/>
          <w:szCs w:val="20"/>
          <w:color w:val="auto"/>
        </w:rPr>
      </w:pPr>
    </w:p>
    <w:p>
      <w:pPr>
        <w:jc w:val="both"/>
        <w:ind w:right="140" w:firstLine="641"/>
        <w:spacing w:after="0" w:line="516" w:lineRule="exact"/>
        <w:rPr>
          <w:sz w:val="20"/>
          <w:szCs w:val="20"/>
          <w:color w:val="auto"/>
        </w:rPr>
      </w:pPr>
      <w:r>
        <w:rPr>
          <w:rFonts w:ascii="宋体" w:cs="宋体" w:eastAsia="宋体" w:hAnsi="宋体"/>
          <w:sz w:val="32"/>
          <w:szCs w:val="32"/>
          <w:b w:val="1"/>
          <w:bCs w:val="1"/>
          <w:color w:val="auto"/>
        </w:rPr>
        <w:t xml:space="preserve">第三条 </w:t>
      </w:r>
      <w:r>
        <w:rPr>
          <w:rFonts w:ascii="宋体" w:cs="宋体" w:eastAsia="宋体" w:hAnsi="宋体"/>
          <w:sz w:val="32"/>
          <w:szCs w:val="32"/>
          <w:color w:val="auto"/>
        </w:rPr>
        <w:t>珠海市高端学术交流资助工作在市人才工作领导小组办公室（简称</w:t>
      </w:r>
      <w:r>
        <w:rPr>
          <w:rFonts w:ascii="Arial" w:cs="Arial" w:eastAsia="Arial" w:hAnsi="Arial"/>
          <w:sz w:val="32"/>
          <w:szCs w:val="32"/>
          <w:color w:val="auto"/>
        </w:rPr>
        <w:t>“</w:t>
      </w:r>
      <w:r>
        <w:rPr>
          <w:rFonts w:ascii="宋体" w:cs="宋体" w:eastAsia="宋体" w:hAnsi="宋体"/>
          <w:sz w:val="32"/>
          <w:szCs w:val="32"/>
          <w:color w:val="auto"/>
        </w:rPr>
        <w:t>市人才办</w:t>
      </w:r>
      <w:r>
        <w:rPr>
          <w:rFonts w:ascii="Arial" w:cs="Arial" w:eastAsia="Arial" w:hAnsi="Arial"/>
          <w:sz w:val="32"/>
          <w:szCs w:val="32"/>
          <w:color w:val="auto"/>
        </w:rPr>
        <w:t>”</w:t>
      </w:r>
      <w:r>
        <w:rPr>
          <w:rFonts w:ascii="宋体" w:cs="宋体" w:eastAsia="宋体" w:hAnsi="宋体"/>
          <w:sz w:val="32"/>
          <w:szCs w:val="32"/>
          <w:color w:val="auto"/>
        </w:rPr>
        <w:t>）的协调和指导下开展，由珠海市科学技术协会（简称</w:t>
      </w:r>
      <w:r>
        <w:rPr>
          <w:rFonts w:ascii="Arial" w:cs="Arial" w:eastAsia="Arial" w:hAnsi="Arial"/>
          <w:sz w:val="32"/>
          <w:szCs w:val="32"/>
          <w:color w:val="auto"/>
        </w:rPr>
        <w:t>“</w:t>
      </w:r>
      <w:r>
        <w:rPr>
          <w:rFonts w:ascii="宋体" w:cs="宋体" w:eastAsia="宋体" w:hAnsi="宋体"/>
          <w:sz w:val="32"/>
          <w:szCs w:val="32"/>
          <w:color w:val="auto"/>
        </w:rPr>
        <w:t>市科协</w:t>
      </w:r>
      <w:r>
        <w:rPr>
          <w:rFonts w:ascii="Arial" w:cs="Arial" w:eastAsia="Arial" w:hAnsi="Arial"/>
          <w:sz w:val="32"/>
          <w:szCs w:val="32"/>
          <w:color w:val="auto"/>
        </w:rPr>
        <w:t>”</w:t>
      </w:r>
      <w:r>
        <w:rPr>
          <w:rFonts w:ascii="宋体" w:cs="宋体" w:eastAsia="宋体" w:hAnsi="宋体"/>
          <w:sz w:val="32"/>
          <w:szCs w:val="32"/>
          <w:color w:val="auto"/>
        </w:rPr>
        <w:t>）具体负责实施，市人才工作领导小组各成员单位协助配合。</w:t>
      </w:r>
    </w:p>
    <w:p>
      <w:pPr>
        <w:spacing w:after="0" w:line="133" w:lineRule="exact"/>
        <w:rPr>
          <w:sz w:val="20"/>
          <w:szCs w:val="20"/>
          <w:color w:val="auto"/>
        </w:rPr>
      </w:pPr>
    </w:p>
    <w:p>
      <w:pPr>
        <w:jc w:val="both"/>
        <w:ind w:right="140" w:firstLine="646"/>
        <w:spacing w:after="0" w:line="523" w:lineRule="exact"/>
        <w:rPr>
          <w:sz w:val="20"/>
          <w:szCs w:val="20"/>
          <w:color w:val="auto"/>
        </w:rPr>
      </w:pPr>
      <w:r>
        <w:rPr>
          <w:rFonts w:ascii="宋体" w:cs="宋体" w:eastAsia="宋体" w:hAnsi="宋体"/>
          <w:sz w:val="32"/>
          <w:szCs w:val="32"/>
          <w:color w:val="auto"/>
        </w:rPr>
        <w:t>市科协成立珠海市高端学术交流资助评审管理办公室（简称</w:t>
      </w:r>
      <w:r>
        <w:rPr>
          <w:rFonts w:ascii="Arial" w:cs="Arial" w:eastAsia="Arial" w:hAnsi="Arial"/>
          <w:sz w:val="32"/>
          <w:szCs w:val="32"/>
          <w:color w:val="auto"/>
        </w:rPr>
        <w:t>“</w:t>
      </w:r>
      <w:r>
        <w:rPr>
          <w:rFonts w:ascii="宋体" w:cs="宋体" w:eastAsia="宋体" w:hAnsi="宋体"/>
          <w:sz w:val="32"/>
          <w:szCs w:val="32"/>
          <w:color w:val="auto"/>
        </w:rPr>
        <w:t>市评审办</w:t>
      </w:r>
      <w:r>
        <w:rPr>
          <w:rFonts w:ascii="Arial" w:cs="Arial" w:eastAsia="Arial" w:hAnsi="Arial"/>
          <w:sz w:val="32"/>
          <w:szCs w:val="32"/>
          <w:color w:val="auto"/>
        </w:rPr>
        <w:t>”</w:t>
      </w:r>
      <w:r>
        <w:rPr>
          <w:rFonts w:ascii="宋体" w:cs="宋体" w:eastAsia="宋体" w:hAnsi="宋体"/>
          <w:sz w:val="32"/>
          <w:szCs w:val="32"/>
          <w:color w:val="auto"/>
        </w:rPr>
        <w:t>），具体负责评审事务的组织及管理；组建珠海市高端学术交流资助评审委员会（简称</w:t>
      </w:r>
      <w:r>
        <w:rPr>
          <w:rFonts w:ascii="Arial" w:cs="Arial" w:eastAsia="Arial" w:hAnsi="Arial"/>
          <w:sz w:val="32"/>
          <w:szCs w:val="32"/>
          <w:color w:val="auto"/>
        </w:rPr>
        <w:t>“</w:t>
      </w:r>
      <w:r>
        <w:rPr>
          <w:rFonts w:ascii="宋体" w:cs="宋体" w:eastAsia="宋体" w:hAnsi="宋体"/>
          <w:sz w:val="32"/>
          <w:szCs w:val="32"/>
          <w:color w:val="auto"/>
        </w:rPr>
        <w:t>市评审委员会</w:t>
      </w:r>
      <w:r>
        <w:rPr>
          <w:rFonts w:ascii="Arial" w:cs="Arial" w:eastAsia="Arial" w:hAnsi="Arial"/>
          <w:sz w:val="32"/>
          <w:szCs w:val="32"/>
          <w:color w:val="auto"/>
        </w:rPr>
        <w:t>”</w:t>
      </w:r>
      <w:r>
        <w:rPr>
          <w:rFonts w:ascii="宋体" w:cs="宋体" w:eastAsia="宋体" w:hAnsi="宋体"/>
          <w:sz w:val="32"/>
          <w:szCs w:val="32"/>
          <w:color w:val="auto"/>
        </w:rPr>
        <w:t>），具体负责资助项目的评审、实施过程的审核工作。市评审委员会设主任委员一名、委员若干名，成员由学术界、科技界、产业界等相关领域专家学者组成。</w:t>
      </w:r>
    </w:p>
    <w:p>
      <w:pPr>
        <w:spacing w:after="0" w:line="135" w:lineRule="exact"/>
        <w:rPr>
          <w:sz w:val="20"/>
          <w:szCs w:val="20"/>
          <w:color w:val="auto"/>
        </w:rPr>
      </w:pPr>
    </w:p>
    <w:p>
      <w:pPr>
        <w:ind w:left="640"/>
        <w:spacing w:after="0" w:line="366" w:lineRule="exact"/>
        <w:tabs>
          <w:tab w:leader="none" w:pos="1900" w:val="left"/>
        </w:tabs>
        <w:rPr>
          <w:sz w:val="20"/>
          <w:szCs w:val="20"/>
          <w:color w:val="auto"/>
        </w:rPr>
      </w:pPr>
      <w:r>
        <w:rPr>
          <w:rFonts w:ascii="宋体" w:cs="宋体" w:eastAsia="宋体" w:hAnsi="宋体"/>
          <w:sz w:val="32"/>
          <w:szCs w:val="32"/>
          <w:b w:val="1"/>
          <w:bCs w:val="1"/>
          <w:color w:val="auto"/>
        </w:rPr>
        <w:t>第四条</w:t>
      </w:r>
      <w:r>
        <w:rPr>
          <w:sz w:val="20"/>
          <w:szCs w:val="20"/>
          <w:color w:val="auto"/>
        </w:rPr>
        <w:tab/>
      </w:r>
      <w:r>
        <w:rPr>
          <w:rFonts w:ascii="宋体" w:cs="宋体" w:eastAsia="宋体" w:hAnsi="宋体"/>
          <w:sz w:val="31"/>
          <w:szCs w:val="31"/>
          <w:color w:val="auto"/>
        </w:rPr>
        <w:t>高端学术交流资助实行自愿申报、专家评审、社会公示、</w:t>
      </w:r>
    </w:p>
    <w:p>
      <w:pPr>
        <w:sectPr>
          <w:pgSz w:w="11900" w:h="16838" w:orient="portrait"/>
          <w:cols w:equalWidth="0" w:num="1">
            <w:col w:w="9780"/>
          </w:cols>
          <w:pgMar w:left="1140" w:top="1440" w:right="986" w:bottom="971" w:gutter="0" w:footer="0" w:header="0"/>
        </w:sectPr>
      </w:pPr>
    </w:p>
    <w:bookmarkStart w:id="4" w:name="page5"/>
    <w:bookmarkEnd w:id="4"/>
    <w:p>
      <w:pPr>
        <w:spacing w:after="0" w:line="325" w:lineRule="exact"/>
        <w:rPr>
          <w:sz w:val="20"/>
          <w:szCs w:val="20"/>
          <w:color w:val="auto"/>
        </w:rPr>
      </w:pPr>
    </w:p>
    <w:p>
      <w:pPr>
        <w:spacing w:after="0" w:line="366" w:lineRule="exact"/>
        <w:rPr>
          <w:sz w:val="20"/>
          <w:szCs w:val="20"/>
          <w:color w:val="auto"/>
        </w:rPr>
      </w:pPr>
      <w:r>
        <w:rPr>
          <w:rFonts w:ascii="宋体" w:cs="宋体" w:eastAsia="宋体" w:hAnsi="宋体"/>
          <w:sz w:val="32"/>
          <w:szCs w:val="32"/>
          <w:color w:val="auto"/>
        </w:rPr>
        <w:t>择优资助的原则。</w:t>
      </w:r>
    </w:p>
    <w:p>
      <w:pPr>
        <w:spacing w:after="0" w:line="185" w:lineRule="exact"/>
        <w:rPr>
          <w:sz w:val="20"/>
          <w:szCs w:val="20"/>
          <w:color w:val="auto"/>
        </w:rPr>
      </w:pPr>
    </w:p>
    <w:p>
      <w:pPr>
        <w:ind w:right="160" w:firstLine="646"/>
        <w:spacing w:after="0" w:line="484" w:lineRule="exact"/>
        <w:rPr>
          <w:sz w:val="20"/>
          <w:szCs w:val="20"/>
          <w:color w:val="auto"/>
        </w:rPr>
      </w:pPr>
      <w:r>
        <w:rPr>
          <w:rFonts w:ascii="宋体" w:cs="宋体" w:eastAsia="宋体" w:hAnsi="宋体"/>
          <w:sz w:val="32"/>
          <w:szCs w:val="32"/>
          <w:b w:val="1"/>
          <w:bCs w:val="1"/>
          <w:color w:val="auto"/>
        </w:rPr>
        <w:t xml:space="preserve">第五条 </w:t>
      </w:r>
      <w:r>
        <w:rPr>
          <w:rFonts w:ascii="宋体" w:cs="宋体" w:eastAsia="宋体" w:hAnsi="宋体"/>
          <w:sz w:val="32"/>
          <w:szCs w:val="32"/>
          <w:color w:val="auto"/>
        </w:rPr>
        <w:t>高端学术交流资助资金及评审管理工作经费从市人才专项资金中列支。</w:t>
      </w:r>
    </w:p>
    <w:p>
      <w:pPr>
        <w:spacing w:after="0" w:line="132" w:lineRule="exact"/>
        <w:rPr>
          <w:sz w:val="20"/>
          <w:szCs w:val="20"/>
          <w:color w:val="auto"/>
        </w:rPr>
      </w:pPr>
    </w:p>
    <w:p>
      <w:pPr>
        <w:ind w:left="2740"/>
        <w:spacing w:after="0" w:line="366" w:lineRule="exact"/>
        <w:tabs>
          <w:tab w:leader="none" w:pos="4000" w:val="left"/>
        </w:tabs>
        <w:rPr>
          <w:sz w:val="20"/>
          <w:szCs w:val="20"/>
          <w:color w:val="auto"/>
        </w:rPr>
      </w:pPr>
      <w:r>
        <w:rPr>
          <w:rFonts w:ascii="黑体" w:cs="黑体" w:eastAsia="黑体" w:hAnsi="黑体"/>
          <w:sz w:val="32"/>
          <w:szCs w:val="32"/>
          <w:color w:val="auto"/>
        </w:rPr>
        <w:t>第二章</w:t>
        <w:tab/>
        <w:t>资助范围及申报条件</w:t>
      </w:r>
    </w:p>
    <w:p>
      <w:pPr>
        <w:spacing w:after="0" w:line="115" w:lineRule="exact"/>
        <w:rPr>
          <w:sz w:val="20"/>
          <w:szCs w:val="20"/>
          <w:color w:val="auto"/>
        </w:rPr>
      </w:pPr>
    </w:p>
    <w:p>
      <w:pPr>
        <w:ind w:left="640"/>
        <w:spacing w:after="0" w:line="366" w:lineRule="exact"/>
        <w:tabs>
          <w:tab w:leader="none" w:pos="1900" w:val="left"/>
        </w:tabs>
        <w:rPr>
          <w:sz w:val="20"/>
          <w:szCs w:val="20"/>
          <w:color w:val="auto"/>
        </w:rPr>
      </w:pPr>
      <w:r>
        <w:rPr>
          <w:rFonts w:ascii="宋体" w:cs="宋体" w:eastAsia="宋体" w:hAnsi="宋体"/>
          <w:sz w:val="32"/>
          <w:szCs w:val="32"/>
          <w:b w:val="1"/>
          <w:bCs w:val="1"/>
          <w:color w:val="auto"/>
        </w:rPr>
        <w:t>第六条</w:t>
      </w:r>
      <w:r>
        <w:rPr>
          <w:sz w:val="20"/>
          <w:szCs w:val="20"/>
          <w:color w:val="auto"/>
        </w:rPr>
        <w:tab/>
      </w:r>
      <w:r>
        <w:rPr>
          <w:rFonts w:ascii="宋体" w:cs="宋体" w:eastAsia="宋体" w:hAnsi="宋体"/>
          <w:sz w:val="31"/>
          <w:szCs w:val="31"/>
          <w:color w:val="auto"/>
        </w:rPr>
        <w:t>高端学术交流资助范围及方向包括：</w:t>
      </w:r>
    </w:p>
    <w:p>
      <w:pPr>
        <w:spacing w:after="0" w:line="182" w:lineRule="exact"/>
        <w:rPr>
          <w:sz w:val="20"/>
          <w:szCs w:val="20"/>
          <w:color w:val="auto"/>
        </w:rPr>
      </w:pPr>
    </w:p>
    <w:p>
      <w:pPr>
        <w:ind w:right="140" w:firstLine="646"/>
        <w:spacing w:after="0" w:line="484" w:lineRule="exact"/>
        <w:rPr>
          <w:sz w:val="20"/>
          <w:szCs w:val="20"/>
          <w:color w:val="auto"/>
        </w:rPr>
      </w:pPr>
      <w:r>
        <w:rPr>
          <w:rFonts w:ascii="宋体" w:cs="宋体" w:eastAsia="宋体" w:hAnsi="宋体"/>
          <w:sz w:val="32"/>
          <w:szCs w:val="32"/>
          <w:color w:val="auto"/>
        </w:rPr>
        <w:t>（一）在珠海永久落地的具有国内外较大影响的高端学术及相关产业科技创新论坛（会议）；</w:t>
      </w:r>
    </w:p>
    <w:p>
      <w:pPr>
        <w:spacing w:after="0" w:line="133" w:lineRule="exact"/>
        <w:rPr>
          <w:sz w:val="20"/>
          <w:szCs w:val="20"/>
          <w:color w:val="auto"/>
        </w:rPr>
      </w:pPr>
    </w:p>
    <w:p>
      <w:pPr>
        <w:ind w:right="140" w:firstLine="646"/>
        <w:spacing w:after="0" w:line="482" w:lineRule="exact"/>
        <w:rPr>
          <w:sz w:val="20"/>
          <w:szCs w:val="20"/>
          <w:color w:val="auto"/>
        </w:rPr>
      </w:pPr>
      <w:r>
        <w:rPr>
          <w:rFonts w:ascii="宋体" w:cs="宋体" w:eastAsia="宋体" w:hAnsi="宋体"/>
          <w:sz w:val="32"/>
          <w:szCs w:val="32"/>
          <w:color w:val="auto"/>
        </w:rPr>
        <w:t>（二）科技前沿领域引领学科发展的国际性、全国性高端科技、学术交流活动</w:t>
      </w:r>
      <w:r>
        <w:rPr>
          <w:rFonts w:ascii="Arial" w:cs="Arial" w:eastAsia="Arial" w:hAnsi="Arial"/>
          <w:sz w:val="32"/>
          <w:szCs w:val="32"/>
          <w:color w:val="auto"/>
        </w:rPr>
        <w:t>;</w:t>
      </w:r>
    </w:p>
    <w:p>
      <w:pPr>
        <w:spacing w:after="0" w:line="134" w:lineRule="exact"/>
        <w:rPr>
          <w:sz w:val="20"/>
          <w:szCs w:val="20"/>
          <w:color w:val="auto"/>
        </w:rPr>
      </w:pPr>
    </w:p>
    <w:p>
      <w:pPr>
        <w:ind w:firstLine="579"/>
        <w:spacing w:after="0" w:line="484" w:lineRule="exact"/>
        <w:rPr>
          <w:sz w:val="20"/>
          <w:szCs w:val="20"/>
          <w:color w:val="auto"/>
        </w:rPr>
      </w:pPr>
      <w:r>
        <w:rPr>
          <w:rFonts w:ascii="宋体" w:cs="宋体" w:eastAsia="宋体" w:hAnsi="宋体"/>
          <w:sz w:val="32"/>
          <w:szCs w:val="32"/>
          <w:color w:val="auto"/>
        </w:rPr>
        <w:t>（三）以战略性新兴产业和我市重点发展产业为选题的高端科技、学术交流活动</w:t>
      </w:r>
      <w:r>
        <w:rPr>
          <w:rFonts w:ascii="Arial" w:cs="Arial" w:eastAsia="Arial" w:hAnsi="Arial"/>
          <w:sz w:val="32"/>
          <w:szCs w:val="32"/>
          <w:color w:val="auto"/>
        </w:rPr>
        <w:t>;</w:t>
      </w:r>
    </w:p>
    <w:p>
      <w:pPr>
        <w:spacing w:after="0" w:line="133" w:lineRule="exact"/>
        <w:rPr>
          <w:sz w:val="20"/>
          <w:szCs w:val="20"/>
          <w:color w:val="auto"/>
        </w:rPr>
      </w:pPr>
    </w:p>
    <w:p>
      <w:pPr>
        <w:ind w:right="160" w:firstLine="644"/>
        <w:spacing w:after="0" w:line="483" w:lineRule="exact"/>
        <w:rPr>
          <w:sz w:val="20"/>
          <w:szCs w:val="20"/>
          <w:color w:val="auto"/>
        </w:rPr>
      </w:pPr>
      <w:r>
        <w:rPr>
          <w:rFonts w:ascii="宋体" w:cs="宋体" w:eastAsia="宋体" w:hAnsi="宋体"/>
          <w:sz w:val="32"/>
          <w:szCs w:val="32"/>
          <w:color w:val="auto"/>
        </w:rPr>
        <w:t>（四）围绕国内外重大工程、重要科技攻关项目等关键技术问题举办的高端科技交流活动（不含项目评审、论证会）；</w:t>
      </w:r>
    </w:p>
    <w:p>
      <w:pPr>
        <w:spacing w:after="0" w:line="133" w:lineRule="exact"/>
        <w:rPr>
          <w:sz w:val="20"/>
          <w:szCs w:val="20"/>
          <w:color w:val="auto"/>
        </w:rPr>
      </w:pPr>
    </w:p>
    <w:p>
      <w:pPr>
        <w:ind w:right="160" w:firstLine="600"/>
        <w:spacing w:after="0" w:line="484" w:lineRule="exact"/>
        <w:rPr>
          <w:sz w:val="20"/>
          <w:szCs w:val="20"/>
          <w:color w:val="auto"/>
        </w:rPr>
      </w:pPr>
      <w:r>
        <w:rPr>
          <w:rFonts w:ascii="宋体" w:cs="宋体" w:eastAsia="宋体" w:hAnsi="宋体"/>
          <w:sz w:val="32"/>
          <w:szCs w:val="32"/>
          <w:color w:val="auto"/>
        </w:rPr>
        <w:t>（五） 围绕粤港澳大湾区国际科技创新中心建设举办的科技创新交流合作、科技成果转化等高端科技、学术交流活动。</w:t>
      </w:r>
    </w:p>
    <w:p>
      <w:pPr>
        <w:spacing w:after="0" w:line="130" w:lineRule="exact"/>
        <w:rPr>
          <w:sz w:val="20"/>
          <w:szCs w:val="20"/>
          <w:color w:val="auto"/>
        </w:rPr>
      </w:pPr>
    </w:p>
    <w:p>
      <w:pPr>
        <w:ind w:left="640"/>
        <w:spacing w:after="0" w:line="366" w:lineRule="exact"/>
        <w:tabs>
          <w:tab w:leader="none" w:pos="1900" w:val="left"/>
        </w:tabs>
        <w:rPr>
          <w:sz w:val="20"/>
          <w:szCs w:val="20"/>
          <w:color w:val="auto"/>
        </w:rPr>
      </w:pPr>
      <w:r>
        <w:rPr>
          <w:rFonts w:ascii="宋体" w:cs="宋体" w:eastAsia="宋体" w:hAnsi="宋体"/>
          <w:sz w:val="32"/>
          <w:szCs w:val="32"/>
          <w:b w:val="1"/>
          <w:bCs w:val="1"/>
          <w:color w:val="auto"/>
        </w:rPr>
        <w:t>第七条</w:t>
      </w:r>
      <w:r>
        <w:rPr>
          <w:sz w:val="20"/>
          <w:szCs w:val="20"/>
          <w:color w:val="auto"/>
        </w:rPr>
        <w:tab/>
      </w:r>
      <w:r>
        <w:rPr>
          <w:rFonts w:ascii="宋体" w:cs="宋体" w:eastAsia="宋体" w:hAnsi="宋体"/>
          <w:sz w:val="31"/>
          <w:szCs w:val="31"/>
          <w:color w:val="auto"/>
        </w:rPr>
        <w:t>申办方必须符合下列条件：</w:t>
      </w:r>
    </w:p>
    <w:p>
      <w:pPr>
        <w:spacing w:after="0" w:line="185" w:lineRule="exact"/>
        <w:rPr>
          <w:sz w:val="20"/>
          <w:szCs w:val="20"/>
          <w:color w:val="auto"/>
        </w:rPr>
      </w:pPr>
    </w:p>
    <w:p>
      <w:pPr>
        <w:ind w:right="140" w:firstLine="641"/>
        <w:spacing w:after="0" w:line="484" w:lineRule="exact"/>
        <w:rPr>
          <w:sz w:val="20"/>
          <w:szCs w:val="20"/>
          <w:color w:val="auto"/>
        </w:rPr>
      </w:pPr>
      <w:r>
        <w:rPr>
          <w:rFonts w:ascii="宋体" w:cs="宋体" w:eastAsia="宋体" w:hAnsi="宋体"/>
          <w:sz w:val="32"/>
          <w:szCs w:val="32"/>
          <w:color w:val="auto"/>
        </w:rPr>
        <w:t>（一）项目必须是在珠海市举办，并有我市科技类创新主体主办或参与；</w:t>
      </w:r>
    </w:p>
    <w:p>
      <w:pPr>
        <w:spacing w:after="0" w:line="133" w:lineRule="exact"/>
        <w:rPr>
          <w:sz w:val="20"/>
          <w:szCs w:val="20"/>
          <w:color w:val="auto"/>
        </w:rPr>
      </w:pPr>
    </w:p>
    <w:p>
      <w:pPr>
        <w:ind w:right="140" w:firstLine="641"/>
        <w:spacing w:after="0" w:line="483" w:lineRule="exact"/>
        <w:rPr>
          <w:sz w:val="20"/>
          <w:szCs w:val="20"/>
          <w:color w:val="auto"/>
        </w:rPr>
      </w:pPr>
      <w:r>
        <w:rPr>
          <w:rFonts w:ascii="宋体" w:cs="宋体" w:eastAsia="宋体" w:hAnsi="宋体"/>
          <w:sz w:val="32"/>
          <w:szCs w:val="32"/>
          <w:color w:val="auto"/>
        </w:rPr>
        <w:t>（二）依法登记注册、实行独立财务核算，有规范财务管理的法人组织；</w:t>
      </w:r>
    </w:p>
    <w:p>
      <w:pPr>
        <w:spacing w:after="0" w:line="133"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（三）具有开展活动所必须的专业团队；</w:t>
      </w:r>
    </w:p>
    <w:p>
      <w:pPr>
        <w:spacing w:after="0" w:line="185"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（四）有项目主办方批准（授权）文件；</w:t>
      </w:r>
    </w:p>
    <w:p>
      <w:pPr>
        <w:spacing w:after="0" w:line="182"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（五）有具体实施方案；</w:t>
      </w:r>
    </w:p>
    <w:p>
      <w:pPr>
        <w:spacing w:after="0" w:line="185" w:lineRule="exact"/>
        <w:rPr>
          <w:sz w:val="20"/>
          <w:szCs w:val="20"/>
          <w:color w:val="auto"/>
        </w:rPr>
      </w:pPr>
    </w:p>
    <w:p>
      <w:pPr>
        <w:ind w:right="140" w:firstLine="646"/>
        <w:spacing w:after="0" w:line="484" w:lineRule="exact"/>
        <w:rPr>
          <w:sz w:val="20"/>
          <w:szCs w:val="20"/>
          <w:color w:val="auto"/>
        </w:rPr>
      </w:pPr>
      <w:r>
        <w:rPr>
          <w:rFonts w:ascii="宋体" w:cs="宋体" w:eastAsia="宋体" w:hAnsi="宋体"/>
          <w:sz w:val="32"/>
          <w:szCs w:val="32"/>
          <w:color w:val="auto"/>
        </w:rPr>
        <w:t>（六）有举办国际或国内高端学术活动的经验，申办永久性落地的专业论坛（会议）还应有连续举办两届（含）以上经历；</w:t>
      </w:r>
    </w:p>
    <w:p>
      <w:pPr>
        <w:spacing w:after="0" w:line="132"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（七）信誉良好，无违法记录。</w:t>
      </w:r>
    </w:p>
    <w:p>
      <w:pPr>
        <w:sectPr>
          <w:pgSz w:w="11900" w:h="16838" w:orient="portrait"/>
          <w:cols w:equalWidth="0" w:num="1">
            <w:col w:w="9780"/>
          </w:cols>
          <w:pgMar w:left="1140" w:top="1440" w:right="986" w:bottom="486" w:gutter="0" w:footer="0" w:header="0"/>
        </w:sectPr>
      </w:pPr>
    </w:p>
    <w:bookmarkStart w:id="5" w:name="page6"/>
    <w:bookmarkEnd w:id="5"/>
    <w:p>
      <w:pPr>
        <w:spacing w:after="0" w:line="327" w:lineRule="exact"/>
        <w:rPr>
          <w:sz w:val="20"/>
          <w:szCs w:val="20"/>
          <w:color w:val="auto"/>
        </w:rPr>
      </w:pPr>
    </w:p>
    <w:p>
      <w:pPr>
        <w:jc w:val="center"/>
        <w:ind w:left="3380"/>
        <w:spacing w:after="0" w:line="366" w:lineRule="exact"/>
        <w:tabs>
          <w:tab w:leader="none" w:pos="300" w:val="left"/>
        </w:tabs>
        <w:rPr>
          <w:sz w:val="20"/>
          <w:szCs w:val="20"/>
          <w:color w:val="auto"/>
        </w:rPr>
      </w:pPr>
      <w:r>
        <w:rPr>
          <w:rFonts w:ascii="黑体" w:cs="黑体" w:eastAsia="黑体" w:hAnsi="黑体"/>
          <w:sz w:val="32"/>
          <w:szCs w:val="32"/>
          <w:color w:val="auto"/>
        </w:rPr>
        <w:t>第三章</w:t>
        <w:tab/>
        <w:t>类别、档次及标准</w:t>
      </w:r>
    </w:p>
    <w:p>
      <w:pPr>
        <w:spacing w:after="0" w:line="113" w:lineRule="exact"/>
        <w:rPr>
          <w:sz w:val="20"/>
          <w:szCs w:val="20"/>
          <w:color w:val="auto"/>
        </w:rPr>
      </w:pPr>
    </w:p>
    <w:p>
      <w:pPr>
        <w:jc w:val="both"/>
        <w:ind w:right="180" w:firstLine="639"/>
        <w:spacing w:after="0" w:line="505" w:lineRule="exact"/>
        <w:rPr>
          <w:sz w:val="20"/>
          <w:szCs w:val="20"/>
          <w:color w:val="auto"/>
        </w:rPr>
      </w:pPr>
      <w:r>
        <w:rPr>
          <w:rFonts w:ascii="宋体" w:cs="宋体" w:eastAsia="宋体" w:hAnsi="宋体"/>
          <w:sz w:val="32"/>
          <w:szCs w:val="32"/>
          <w:b w:val="1"/>
          <w:bCs w:val="1"/>
          <w:color w:val="auto"/>
        </w:rPr>
        <w:t xml:space="preserve">第八条 </w:t>
      </w:r>
      <w:r>
        <w:rPr>
          <w:rFonts w:ascii="宋体" w:cs="宋体" w:eastAsia="宋体" w:hAnsi="宋体"/>
          <w:sz w:val="32"/>
          <w:szCs w:val="32"/>
          <w:color w:val="auto"/>
        </w:rPr>
        <w:t>参照国际、国内相关学术会议论坛标准及规则，制定我市高端学术交流资助项目评审标准，量化评分，分类分档给予相应资助。</w:t>
      </w:r>
    </w:p>
    <w:p>
      <w:pPr>
        <w:spacing w:after="0" w:line="134" w:lineRule="exact"/>
        <w:rPr>
          <w:sz w:val="20"/>
          <w:szCs w:val="20"/>
          <w:color w:val="auto"/>
        </w:rPr>
      </w:pPr>
    </w:p>
    <w:p>
      <w:pPr>
        <w:jc w:val="both"/>
        <w:ind w:right="180" w:firstLine="639"/>
        <w:spacing w:after="0" w:line="483" w:lineRule="exact"/>
        <w:rPr>
          <w:sz w:val="20"/>
          <w:szCs w:val="20"/>
          <w:color w:val="auto"/>
        </w:rPr>
      </w:pPr>
      <w:r>
        <w:rPr>
          <w:rFonts w:ascii="宋体" w:cs="宋体" w:eastAsia="宋体" w:hAnsi="宋体"/>
          <w:sz w:val="32"/>
          <w:szCs w:val="32"/>
          <w:b w:val="1"/>
          <w:bCs w:val="1"/>
          <w:color w:val="auto"/>
        </w:rPr>
        <w:t xml:space="preserve">第九条 </w:t>
      </w:r>
      <w:r>
        <w:rPr>
          <w:rFonts w:ascii="宋体" w:cs="宋体" w:eastAsia="宋体" w:hAnsi="宋体"/>
          <w:sz w:val="32"/>
          <w:szCs w:val="32"/>
          <w:color w:val="auto"/>
        </w:rPr>
        <w:t>高端学术交流资助项目分永久性落地项目和非永久性举办项目两类。</w:t>
      </w:r>
    </w:p>
    <w:p>
      <w:pPr>
        <w:spacing w:after="0" w:line="133" w:lineRule="exact"/>
        <w:rPr>
          <w:sz w:val="20"/>
          <w:szCs w:val="20"/>
          <w:color w:val="auto"/>
        </w:rPr>
      </w:pPr>
    </w:p>
    <w:p>
      <w:pPr>
        <w:jc w:val="both"/>
        <w:ind w:right="180" w:firstLine="639"/>
        <w:spacing w:after="0" w:line="523" w:lineRule="exact"/>
        <w:rPr>
          <w:sz w:val="20"/>
          <w:szCs w:val="20"/>
          <w:color w:val="auto"/>
        </w:rPr>
      </w:pPr>
      <w:r>
        <w:rPr>
          <w:rFonts w:ascii="宋体" w:cs="宋体" w:eastAsia="宋体" w:hAnsi="宋体"/>
          <w:sz w:val="32"/>
          <w:szCs w:val="32"/>
          <w:b w:val="1"/>
          <w:bCs w:val="1"/>
          <w:color w:val="auto"/>
        </w:rPr>
        <w:t xml:space="preserve">第十条 </w:t>
      </w:r>
      <w:r>
        <w:rPr>
          <w:rFonts w:ascii="宋体" w:cs="宋体" w:eastAsia="宋体" w:hAnsi="宋体"/>
          <w:sz w:val="32"/>
          <w:szCs w:val="32"/>
          <w:color w:val="auto"/>
        </w:rPr>
        <w:t>永久性落地项目指我市科技类创新主体主办或参与，并由国内外知名学术团体、国家部委、国家级科研院所、国内外知名高校、国内外行业龙头企业等科技类创新主体发起，在我市连续举办</w:t>
      </w:r>
      <w:r>
        <w:rPr>
          <w:rFonts w:ascii="Arial" w:cs="Arial" w:eastAsia="Arial" w:hAnsi="Arial"/>
          <w:sz w:val="32"/>
          <w:szCs w:val="32"/>
          <w:color w:val="auto"/>
        </w:rPr>
        <w:t xml:space="preserve"> 10 </w:t>
      </w:r>
      <w:r>
        <w:rPr>
          <w:rFonts w:ascii="宋体" w:cs="宋体" w:eastAsia="宋体" w:hAnsi="宋体"/>
          <w:sz w:val="32"/>
          <w:szCs w:val="32"/>
          <w:color w:val="auto"/>
        </w:rPr>
        <w:t>年以上、且不少于</w:t>
      </w:r>
      <w:r>
        <w:rPr>
          <w:rFonts w:ascii="Arial" w:cs="Arial" w:eastAsia="Arial" w:hAnsi="Arial"/>
          <w:sz w:val="32"/>
          <w:szCs w:val="32"/>
          <w:color w:val="auto"/>
        </w:rPr>
        <w:t xml:space="preserve"> 5 </w:t>
      </w:r>
      <w:r>
        <w:rPr>
          <w:rFonts w:ascii="宋体" w:cs="宋体" w:eastAsia="宋体" w:hAnsi="宋体"/>
          <w:sz w:val="32"/>
          <w:szCs w:val="32"/>
          <w:color w:val="auto"/>
        </w:rPr>
        <w:t>届，并符合本办法第六条规定的资助内容及方向的高端学术论坛（会议）。</w:t>
      </w:r>
    </w:p>
    <w:p>
      <w:pPr>
        <w:spacing w:after="0" w:line="135"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永久性落地项目分两档，给予不同额度资助：</w:t>
      </w:r>
    </w:p>
    <w:p>
      <w:pPr>
        <w:spacing w:after="0" w:line="183" w:lineRule="exact"/>
        <w:rPr>
          <w:sz w:val="20"/>
          <w:szCs w:val="20"/>
          <w:color w:val="auto"/>
        </w:rPr>
      </w:pPr>
    </w:p>
    <w:p>
      <w:pPr>
        <w:ind w:right="20" w:firstLine="646"/>
        <w:spacing w:after="0" w:line="483" w:lineRule="exact"/>
        <w:rPr>
          <w:sz w:val="20"/>
          <w:szCs w:val="20"/>
          <w:color w:val="auto"/>
        </w:rPr>
      </w:pPr>
      <w:r>
        <w:rPr>
          <w:rFonts w:ascii="宋体" w:cs="宋体" w:eastAsia="宋体" w:hAnsi="宋体"/>
          <w:sz w:val="31"/>
          <w:szCs w:val="31"/>
          <w:color w:val="auto"/>
        </w:rPr>
        <w:t>第一档：指国际行业认可、已形成品牌且具有较大国际影响力的永久性专业论坛（会议），每届每年给予最高不超过</w:t>
      </w:r>
      <w:r>
        <w:rPr>
          <w:rFonts w:ascii="Arial" w:cs="Arial" w:eastAsia="Arial" w:hAnsi="Arial"/>
          <w:sz w:val="31"/>
          <w:szCs w:val="31"/>
          <w:color w:val="auto"/>
        </w:rPr>
        <w:t xml:space="preserve"> 600 </w:t>
      </w:r>
      <w:r>
        <w:rPr>
          <w:rFonts w:ascii="宋体" w:cs="宋体" w:eastAsia="宋体" w:hAnsi="宋体"/>
          <w:sz w:val="31"/>
          <w:szCs w:val="31"/>
          <w:color w:val="auto"/>
        </w:rPr>
        <w:t>万元的资助；</w:t>
      </w:r>
    </w:p>
    <w:p>
      <w:pPr>
        <w:spacing w:after="0" w:line="135" w:lineRule="exact"/>
        <w:rPr>
          <w:sz w:val="20"/>
          <w:szCs w:val="20"/>
          <w:color w:val="auto"/>
        </w:rPr>
      </w:pPr>
    </w:p>
    <w:p>
      <w:pPr>
        <w:jc w:val="both"/>
        <w:ind w:right="160" w:firstLine="639"/>
        <w:spacing w:after="0" w:line="505" w:lineRule="exact"/>
        <w:rPr>
          <w:sz w:val="20"/>
          <w:szCs w:val="20"/>
          <w:color w:val="auto"/>
        </w:rPr>
      </w:pPr>
      <w:r>
        <w:rPr>
          <w:rFonts w:ascii="宋体" w:cs="宋体" w:eastAsia="宋体" w:hAnsi="宋体"/>
          <w:sz w:val="32"/>
          <w:szCs w:val="32"/>
          <w:color w:val="auto"/>
        </w:rPr>
        <w:t>第二档：指经国内权威机构认定，已形成品牌且在国内具有较高学术水平和影响力的专业论坛（会议），每届每年给予最高不超过</w:t>
      </w:r>
      <w:r>
        <w:rPr>
          <w:rFonts w:ascii="Arial" w:cs="Arial" w:eastAsia="Arial" w:hAnsi="Arial"/>
          <w:sz w:val="32"/>
          <w:szCs w:val="32"/>
          <w:color w:val="auto"/>
        </w:rPr>
        <w:t xml:space="preserve"> 300 </w:t>
      </w:r>
      <w:r>
        <w:rPr>
          <w:rFonts w:ascii="宋体" w:cs="宋体" w:eastAsia="宋体" w:hAnsi="宋体"/>
          <w:sz w:val="32"/>
          <w:szCs w:val="32"/>
          <w:color w:val="auto"/>
        </w:rPr>
        <w:t>万元的资助。</w:t>
      </w:r>
    </w:p>
    <w:p>
      <w:pPr>
        <w:spacing w:after="0" w:line="134" w:lineRule="exact"/>
        <w:rPr>
          <w:sz w:val="20"/>
          <w:szCs w:val="20"/>
          <w:color w:val="auto"/>
        </w:rPr>
      </w:pPr>
    </w:p>
    <w:p>
      <w:pPr>
        <w:jc w:val="both"/>
        <w:ind w:right="180" w:firstLine="639"/>
        <w:spacing w:after="0" w:line="484" w:lineRule="exact"/>
        <w:rPr>
          <w:sz w:val="20"/>
          <w:szCs w:val="20"/>
          <w:color w:val="auto"/>
        </w:rPr>
      </w:pPr>
      <w:r>
        <w:rPr>
          <w:rFonts w:ascii="宋体" w:cs="宋体" w:eastAsia="宋体" w:hAnsi="宋体"/>
          <w:sz w:val="32"/>
          <w:szCs w:val="32"/>
          <w:color w:val="auto"/>
        </w:rPr>
        <w:t>永久性落地项目每年只资助一届，资助期不超过</w:t>
      </w:r>
      <w:r>
        <w:rPr>
          <w:rFonts w:ascii="Arial" w:cs="Arial" w:eastAsia="Arial" w:hAnsi="Arial"/>
          <w:sz w:val="32"/>
          <w:szCs w:val="32"/>
          <w:color w:val="auto"/>
        </w:rPr>
        <w:t xml:space="preserve"> 3 </w:t>
      </w:r>
      <w:r>
        <w:rPr>
          <w:rFonts w:ascii="宋体" w:cs="宋体" w:eastAsia="宋体" w:hAnsi="宋体"/>
          <w:sz w:val="32"/>
          <w:szCs w:val="32"/>
          <w:color w:val="auto"/>
        </w:rPr>
        <w:t>届。资助期满可按非永久性举办项目申请资助。</w:t>
      </w:r>
    </w:p>
    <w:p>
      <w:pPr>
        <w:spacing w:after="0" w:line="131" w:lineRule="exact"/>
        <w:rPr>
          <w:sz w:val="20"/>
          <w:szCs w:val="20"/>
          <w:color w:val="auto"/>
        </w:rPr>
      </w:pPr>
    </w:p>
    <w:p>
      <w:pPr>
        <w:jc w:val="both"/>
        <w:ind w:right="180" w:firstLine="639"/>
        <w:spacing w:after="0" w:line="516" w:lineRule="exact"/>
        <w:rPr>
          <w:sz w:val="20"/>
          <w:szCs w:val="20"/>
          <w:color w:val="auto"/>
        </w:rPr>
      </w:pPr>
      <w:r>
        <w:rPr>
          <w:rFonts w:ascii="宋体" w:cs="宋体" w:eastAsia="宋体" w:hAnsi="宋体"/>
          <w:sz w:val="32"/>
          <w:szCs w:val="32"/>
          <w:b w:val="1"/>
          <w:bCs w:val="1"/>
          <w:color w:val="auto"/>
        </w:rPr>
        <w:t xml:space="preserve">第十一条 </w:t>
      </w:r>
      <w:r>
        <w:rPr>
          <w:rFonts w:ascii="宋体" w:cs="宋体" w:eastAsia="宋体" w:hAnsi="宋体"/>
          <w:sz w:val="32"/>
          <w:szCs w:val="32"/>
          <w:color w:val="auto"/>
        </w:rPr>
        <w:t>非永久性举办项目指我市科技类创新主体主办或参与，并由国内外知名学术团体组织、国家部委、国家级科研院所、国内外知名高校、国内外行业龙头企业等创新主体发起，在我市不定期举办，且符合本办法第六条规定内容和方向的学术会议。</w:t>
      </w:r>
    </w:p>
    <w:p>
      <w:pPr>
        <w:spacing w:after="0" w:line="134"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非永久性举办项目资助分三档，给予不同额度资助：</w:t>
      </w:r>
    </w:p>
    <w:p>
      <w:pPr>
        <w:spacing w:after="0" w:line="185" w:lineRule="exact"/>
        <w:rPr>
          <w:sz w:val="20"/>
          <w:szCs w:val="20"/>
          <w:color w:val="auto"/>
        </w:rPr>
      </w:pPr>
    </w:p>
    <w:p>
      <w:pPr>
        <w:ind w:firstLine="646"/>
        <w:spacing w:after="0" w:line="484" w:lineRule="exact"/>
        <w:rPr>
          <w:sz w:val="20"/>
          <w:szCs w:val="20"/>
          <w:color w:val="auto"/>
        </w:rPr>
      </w:pPr>
      <w:r>
        <w:rPr>
          <w:rFonts w:ascii="宋体" w:cs="宋体" w:eastAsia="宋体" w:hAnsi="宋体"/>
          <w:sz w:val="32"/>
          <w:szCs w:val="32"/>
          <w:color w:val="auto"/>
        </w:rPr>
        <w:t>第一档：指在我市举办的具有国际影响力的国际性高端学术会议，每次给予最高不超过</w:t>
      </w:r>
      <w:r>
        <w:rPr>
          <w:rFonts w:ascii="Arial" w:cs="Arial" w:eastAsia="Arial" w:hAnsi="Arial"/>
          <w:sz w:val="32"/>
          <w:szCs w:val="32"/>
          <w:color w:val="auto"/>
        </w:rPr>
        <w:t xml:space="preserve"> 100 </w:t>
      </w:r>
      <w:r>
        <w:rPr>
          <w:rFonts w:ascii="宋体" w:cs="宋体" w:eastAsia="宋体" w:hAnsi="宋体"/>
          <w:sz w:val="32"/>
          <w:szCs w:val="32"/>
          <w:color w:val="auto"/>
        </w:rPr>
        <w:t>万元资助；</w:t>
      </w:r>
    </w:p>
    <w:p>
      <w:pPr>
        <w:sectPr>
          <w:pgSz w:w="11900" w:h="16838" w:orient="portrait"/>
          <w:cols w:equalWidth="0" w:num="1">
            <w:col w:w="9800"/>
          </w:cols>
          <w:pgMar w:left="1140" w:top="1440" w:right="966" w:bottom="434" w:gutter="0" w:footer="0" w:header="0"/>
        </w:sectPr>
      </w:pPr>
    </w:p>
    <w:bookmarkStart w:id="6" w:name="page7"/>
    <w:bookmarkEnd w:id="6"/>
    <w:p>
      <w:pPr>
        <w:spacing w:after="0" w:line="325" w:lineRule="exact"/>
        <w:rPr>
          <w:sz w:val="20"/>
          <w:szCs w:val="20"/>
          <w:color w:val="auto"/>
        </w:rPr>
      </w:pPr>
    </w:p>
    <w:p>
      <w:pPr>
        <w:ind w:firstLine="646"/>
        <w:spacing w:after="0" w:line="484" w:lineRule="exact"/>
        <w:rPr>
          <w:sz w:val="20"/>
          <w:szCs w:val="20"/>
          <w:color w:val="auto"/>
        </w:rPr>
      </w:pPr>
      <w:r>
        <w:rPr>
          <w:rFonts w:ascii="宋体" w:cs="宋体" w:eastAsia="宋体" w:hAnsi="宋体"/>
          <w:sz w:val="32"/>
          <w:szCs w:val="32"/>
          <w:color w:val="auto"/>
        </w:rPr>
        <w:t>第二档：指在我市举办的综合型或主题型的全国性高端学术会议，每次给予最高不超过</w:t>
      </w:r>
      <w:r>
        <w:rPr>
          <w:rFonts w:ascii="Arial" w:cs="Arial" w:eastAsia="Arial" w:hAnsi="Arial"/>
          <w:sz w:val="32"/>
          <w:szCs w:val="32"/>
          <w:color w:val="auto"/>
        </w:rPr>
        <w:t xml:space="preserve"> 70 </w:t>
      </w:r>
      <w:r>
        <w:rPr>
          <w:rFonts w:ascii="宋体" w:cs="宋体" w:eastAsia="宋体" w:hAnsi="宋体"/>
          <w:sz w:val="32"/>
          <w:szCs w:val="32"/>
          <w:color w:val="auto"/>
        </w:rPr>
        <w:t>万元资助；</w:t>
      </w:r>
    </w:p>
    <w:p>
      <w:pPr>
        <w:spacing w:after="0" w:line="133" w:lineRule="exact"/>
        <w:rPr>
          <w:sz w:val="20"/>
          <w:szCs w:val="20"/>
          <w:color w:val="auto"/>
        </w:rPr>
      </w:pPr>
    </w:p>
    <w:p>
      <w:pPr>
        <w:ind w:right="140" w:firstLine="646"/>
        <w:spacing w:after="0" w:line="484" w:lineRule="exact"/>
        <w:rPr>
          <w:sz w:val="20"/>
          <w:szCs w:val="20"/>
          <w:color w:val="auto"/>
        </w:rPr>
      </w:pPr>
      <w:r>
        <w:rPr>
          <w:rFonts w:ascii="宋体" w:cs="宋体" w:eastAsia="宋体" w:hAnsi="宋体"/>
          <w:sz w:val="32"/>
          <w:szCs w:val="32"/>
          <w:color w:val="auto"/>
        </w:rPr>
        <w:t>第三档：指在我市举办的以粤港澳大湾区科技创新和产业发展为主题的高端学术交流活动，每次给予最高不超过</w:t>
      </w:r>
      <w:r>
        <w:rPr>
          <w:rFonts w:ascii="Arial" w:cs="Arial" w:eastAsia="Arial" w:hAnsi="Arial"/>
          <w:sz w:val="32"/>
          <w:szCs w:val="32"/>
          <w:color w:val="auto"/>
        </w:rPr>
        <w:t xml:space="preserve"> 40 </w:t>
      </w:r>
      <w:r>
        <w:rPr>
          <w:rFonts w:ascii="宋体" w:cs="宋体" w:eastAsia="宋体" w:hAnsi="宋体"/>
          <w:sz w:val="32"/>
          <w:szCs w:val="32"/>
          <w:color w:val="auto"/>
        </w:rPr>
        <w:t>万元资助。</w:t>
      </w:r>
    </w:p>
    <w:p>
      <w:pPr>
        <w:spacing w:after="0" w:line="131" w:lineRule="exact"/>
        <w:rPr>
          <w:sz w:val="20"/>
          <w:szCs w:val="20"/>
          <w:color w:val="auto"/>
        </w:rPr>
      </w:pPr>
    </w:p>
    <w:p>
      <w:pPr>
        <w:ind w:right="160" w:firstLine="646"/>
        <w:spacing w:after="0" w:line="484" w:lineRule="exact"/>
        <w:rPr>
          <w:sz w:val="20"/>
          <w:szCs w:val="20"/>
          <w:color w:val="auto"/>
        </w:rPr>
      </w:pPr>
      <w:r>
        <w:rPr>
          <w:rFonts w:ascii="宋体" w:cs="宋体" w:eastAsia="宋体" w:hAnsi="宋体"/>
          <w:sz w:val="32"/>
          <w:szCs w:val="32"/>
          <w:b w:val="1"/>
          <w:bCs w:val="1"/>
          <w:color w:val="auto"/>
        </w:rPr>
        <w:t xml:space="preserve">第十二条 </w:t>
      </w:r>
      <w:r>
        <w:rPr>
          <w:rFonts w:ascii="宋体" w:cs="宋体" w:eastAsia="宋体" w:hAnsi="宋体"/>
          <w:sz w:val="32"/>
          <w:szCs w:val="32"/>
          <w:color w:val="auto"/>
        </w:rPr>
        <w:t>具体资助金额根据当年下达的专项资金总额度、年度纳入资助范围的项目总量和市评审委员会评审意见综合确定。</w:t>
      </w:r>
    </w:p>
    <w:p>
      <w:pPr>
        <w:spacing w:after="0" w:line="133" w:lineRule="exact"/>
        <w:rPr>
          <w:sz w:val="20"/>
          <w:szCs w:val="20"/>
          <w:color w:val="auto"/>
        </w:rPr>
      </w:pPr>
    </w:p>
    <w:p>
      <w:pPr>
        <w:ind w:right="140" w:firstLine="646"/>
        <w:spacing w:after="0" w:line="482" w:lineRule="exact"/>
        <w:rPr>
          <w:sz w:val="20"/>
          <w:szCs w:val="20"/>
          <w:color w:val="auto"/>
        </w:rPr>
      </w:pPr>
      <w:r>
        <w:rPr>
          <w:rFonts w:ascii="宋体" w:cs="宋体" w:eastAsia="宋体" w:hAnsi="宋体"/>
          <w:sz w:val="32"/>
          <w:szCs w:val="32"/>
          <w:color w:val="auto"/>
        </w:rPr>
        <w:t>原则上同一项目获得的市级财政资助金额不得超过该项目经费决算总额的</w:t>
      </w:r>
      <w:r>
        <w:rPr>
          <w:rFonts w:ascii="Arial" w:cs="Arial" w:eastAsia="Arial" w:hAnsi="Arial"/>
          <w:sz w:val="32"/>
          <w:szCs w:val="32"/>
          <w:color w:val="auto"/>
        </w:rPr>
        <w:t xml:space="preserve"> 60%</w:t>
      </w:r>
      <w:r>
        <w:rPr>
          <w:rFonts w:ascii="宋体" w:cs="宋体" w:eastAsia="宋体" w:hAnsi="宋体"/>
          <w:sz w:val="32"/>
          <w:szCs w:val="32"/>
          <w:color w:val="auto"/>
        </w:rPr>
        <w:t>，且不超过该项目的资助标准的上限。</w:t>
      </w:r>
    </w:p>
    <w:p>
      <w:pPr>
        <w:spacing w:after="0" w:line="134" w:lineRule="exact"/>
        <w:rPr>
          <w:sz w:val="20"/>
          <w:szCs w:val="20"/>
          <w:color w:val="auto"/>
        </w:rPr>
      </w:pPr>
    </w:p>
    <w:p>
      <w:pPr>
        <w:jc w:val="center"/>
        <w:ind w:left="3400"/>
        <w:spacing w:after="0" w:line="366" w:lineRule="exact"/>
        <w:tabs>
          <w:tab w:leader="none" w:pos="300" w:val="left"/>
        </w:tabs>
        <w:rPr>
          <w:sz w:val="20"/>
          <w:szCs w:val="20"/>
          <w:color w:val="auto"/>
        </w:rPr>
      </w:pPr>
      <w:r>
        <w:rPr>
          <w:rFonts w:ascii="黑体" w:cs="黑体" w:eastAsia="黑体" w:hAnsi="黑体"/>
          <w:sz w:val="32"/>
          <w:szCs w:val="32"/>
          <w:color w:val="auto"/>
        </w:rPr>
        <w:t>第四章</w:t>
        <w:tab/>
        <w:t>申报及流程</w:t>
      </w:r>
    </w:p>
    <w:p>
      <w:pPr>
        <w:spacing w:after="0" w:line="115" w:lineRule="exact"/>
        <w:rPr>
          <w:sz w:val="20"/>
          <w:szCs w:val="20"/>
          <w:color w:val="auto"/>
        </w:rPr>
      </w:pPr>
    </w:p>
    <w:p>
      <w:pPr>
        <w:jc w:val="right"/>
        <w:ind w:right="120"/>
        <w:spacing w:after="0" w:line="506" w:lineRule="exact"/>
        <w:rPr>
          <w:sz w:val="20"/>
          <w:szCs w:val="20"/>
          <w:color w:val="auto"/>
        </w:rPr>
      </w:pPr>
      <w:r>
        <w:rPr>
          <w:rFonts w:ascii="宋体" w:cs="宋体" w:eastAsia="宋体" w:hAnsi="宋体"/>
          <w:sz w:val="32"/>
          <w:szCs w:val="32"/>
          <w:b w:val="1"/>
          <w:bCs w:val="1"/>
          <w:color w:val="auto"/>
        </w:rPr>
        <w:t>第十三条</w:t>
      </w:r>
      <w:r>
        <w:rPr>
          <w:rFonts w:ascii="Arial" w:cs="Arial" w:eastAsia="Arial" w:hAnsi="Arial"/>
          <w:sz w:val="32"/>
          <w:szCs w:val="32"/>
          <w:color w:val="auto"/>
        </w:rPr>
        <w:t xml:space="preserve">  </w:t>
      </w:r>
      <w:r>
        <w:rPr>
          <w:rFonts w:ascii="宋体" w:cs="宋体" w:eastAsia="宋体" w:hAnsi="宋体"/>
          <w:sz w:val="32"/>
          <w:szCs w:val="32"/>
          <w:color w:val="auto"/>
        </w:rPr>
        <w:t>每年度安排两次集中申报，时间分别为</w:t>
      </w:r>
      <w:r>
        <w:rPr>
          <w:rFonts w:ascii="Arial" w:cs="Arial" w:eastAsia="Arial" w:hAnsi="Arial"/>
          <w:sz w:val="32"/>
          <w:szCs w:val="32"/>
          <w:color w:val="auto"/>
        </w:rPr>
        <w:t xml:space="preserve"> 3 </w:t>
      </w:r>
      <w:r>
        <w:rPr>
          <w:rFonts w:ascii="宋体" w:cs="宋体" w:eastAsia="宋体" w:hAnsi="宋体"/>
          <w:sz w:val="32"/>
          <w:szCs w:val="32"/>
          <w:color w:val="auto"/>
        </w:rPr>
        <w:t>月和</w:t>
      </w:r>
      <w:r>
        <w:rPr>
          <w:rFonts w:ascii="Arial" w:cs="Arial" w:eastAsia="Arial" w:hAnsi="Arial"/>
          <w:sz w:val="32"/>
          <w:szCs w:val="32"/>
          <w:color w:val="auto"/>
        </w:rPr>
        <w:t xml:space="preserve"> 8 </w:t>
      </w:r>
      <w:r>
        <w:rPr>
          <w:rFonts w:ascii="宋体" w:cs="宋体" w:eastAsia="宋体" w:hAnsi="宋体"/>
          <w:sz w:val="32"/>
          <w:szCs w:val="32"/>
          <w:color w:val="auto"/>
        </w:rPr>
        <w:t>月。特别重要的项目，可按照</w:t>
      </w:r>
      <w:r>
        <w:rPr>
          <w:rFonts w:ascii="Arial" w:cs="Arial" w:eastAsia="Arial" w:hAnsi="Arial"/>
          <w:sz w:val="32"/>
          <w:szCs w:val="32"/>
          <w:color w:val="auto"/>
        </w:rPr>
        <w:t>“</w:t>
      </w:r>
      <w:r>
        <w:rPr>
          <w:rFonts w:ascii="宋体" w:cs="宋体" w:eastAsia="宋体" w:hAnsi="宋体"/>
          <w:sz w:val="32"/>
          <w:szCs w:val="32"/>
          <w:color w:val="auto"/>
        </w:rPr>
        <w:t>一事一议、特事特办</w:t>
      </w:r>
      <w:r>
        <w:rPr>
          <w:rFonts w:ascii="Arial" w:cs="Arial" w:eastAsia="Arial" w:hAnsi="Arial"/>
          <w:sz w:val="32"/>
          <w:szCs w:val="32"/>
          <w:color w:val="auto"/>
        </w:rPr>
        <w:t>”</w:t>
      </w:r>
      <w:r>
        <w:rPr>
          <w:rFonts w:ascii="宋体" w:cs="宋体" w:eastAsia="宋体" w:hAnsi="宋体"/>
          <w:sz w:val="32"/>
          <w:szCs w:val="32"/>
          <w:color w:val="auto"/>
        </w:rPr>
        <w:t>的原则，由申办方向市评审办书面提出申请，市评审委员会通过评审，报市科协同</w:t>
      </w:r>
    </w:p>
    <w:p>
      <w:pPr>
        <w:spacing w:after="0" w:line="131" w:lineRule="exact"/>
        <w:rPr>
          <w:sz w:val="20"/>
          <w:szCs w:val="20"/>
          <w:color w:val="auto"/>
        </w:rPr>
      </w:pPr>
    </w:p>
    <w:p>
      <w:pPr>
        <w:spacing w:after="0" w:line="366" w:lineRule="exact"/>
        <w:rPr>
          <w:sz w:val="20"/>
          <w:szCs w:val="20"/>
          <w:color w:val="auto"/>
        </w:rPr>
      </w:pPr>
      <w:r>
        <w:rPr>
          <w:rFonts w:ascii="宋体" w:cs="宋体" w:eastAsia="宋体" w:hAnsi="宋体"/>
          <w:sz w:val="32"/>
          <w:szCs w:val="32"/>
          <w:color w:val="auto"/>
        </w:rPr>
        <w:t>意后纳入计划并报市人才办备案。</w:t>
      </w:r>
    </w:p>
    <w:p>
      <w:pPr>
        <w:spacing w:after="0" w:line="185" w:lineRule="exact"/>
        <w:rPr>
          <w:sz w:val="20"/>
          <w:szCs w:val="20"/>
          <w:color w:val="auto"/>
        </w:rPr>
      </w:pPr>
    </w:p>
    <w:p>
      <w:pPr>
        <w:ind w:left="640"/>
        <w:spacing w:after="0" w:line="366" w:lineRule="exact"/>
        <w:tabs>
          <w:tab w:leader="none" w:pos="2220" w:val="left"/>
        </w:tabs>
        <w:rPr>
          <w:sz w:val="20"/>
          <w:szCs w:val="20"/>
          <w:color w:val="auto"/>
        </w:rPr>
      </w:pPr>
      <w:r>
        <w:rPr>
          <w:rFonts w:ascii="宋体" w:cs="宋体" w:eastAsia="宋体" w:hAnsi="宋体"/>
          <w:sz w:val="32"/>
          <w:szCs w:val="32"/>
          <w:b w:val="1"/>
          <w:bCs w:val="1"/>
          <w:color w:val="auto"/>
        </w:rPr>
        <w:t>第十四条</w:t>
      </w:r>
      <w:r>
        <w:rPr>
          <w:sz w:val="20"/>
          <w:szCs w:val="20"/>
          <w:color w:val="auto"/>
        </w:rPr>
        <w:tab/>
      </w:r>
      <w:r>
        <w:rPr>
          <w:rFonts w:ascii="宋体" w:cs="宋体" w:eastAsia="宋体" w:hAnsi="宋体"/>
          <w:sz w:val="31"/>
          <w:szCs w:val="31"/>
          <w:color w:val="auto"/>
        </w:rPr>
        <w:t>申办方应是项目的主办或承办单位（不含行政机关）。</w:t>
      </w:r>
    </w:p>
    <w:p>
      <w:pPr>
        <w:spacing w:after="0" w:line="185" w:lineRule="exact"/>
        <w:rPr>
          <w:sz w:val="20"/>
          <w:szCs w:val="20"/>
          <w:color w:val="auto"/>
        </w:rPr>
      </w:pPr>
    </w:p>
    <w:p>
      <w:pPr>
        <w:spacing w:after="0" w:line="366" w:lineRule="exact"/>
        <w:rPr>
          <w:sz w:val="20"/>
          <w:szCs w:val="20"/>
          <w:color w:val="auto"/>
        </w:rPr>
      </w:pPr>
      <w:r>
        <w:rPr>
          <w:rFonts w:ascii="宋体" w:cs="宋体" w:eastAsia="宋体" w:hAnsi="宋体"/>
          <w:sz w:val="32"/>
          <w:szCs w:val="32"/>
          <w:color w:val="auto"/>
        </w:rPr>
        <w:t>同一项目如果有多个主办或承办单位，只受理一家牵头单位的申报。</w:t>
      </w:r>
    </w:p>
    <w:p>
      <w:pPr>
        <w:spacing w:after="0" w:line="182" w:lineRule="exact"/>
        <w:rPr>
          <w:sz w:val="20"/>
          <w:szCs w:val="20"/>
          <w:color w:val="auto"/>
        </w:rPr>
      </w:pPr>
    </w:p>
    <w:p>
      <w:pPr>
        <w:ind w:right="140" w:firstLine="646"/>
        <w:spacing w:after="0" w:line="484" w:lineRule="exact"/>
        <w:rPr>
          <w:sz w:val="20"/>
          <w:szCs w:val="20"/>
          <w:color w:val="auto"/>
        </w:rPr>
      </w:pPr>
      <w:r>
        <w:rPr>
          <w:rFonts w:ascii="宋体" w:cs="宋体" w:eastAsia="宋体" w:hAnsi="宋体"/>
          <w:sz w:val="32"/>
          <w:szCs w:val="32"/>
          <w:color w:val="auto"/>
        </w:rPr>
        <w:t>同一项目在同一年度内只资助一次，已获得本市市级财政资金资助的项目，不得重复申报。</w:t>
      </w:r>
    </w:p>
    <w:p>
      <w:pPr>
        <w:spacing w:after="0" w:line="132" w:lineRule="exact"/>
        <w:rPr>
          <w:sz w:val="20"/>
          <w:szCs w:val="20"/>
          <w:color w:val="auto"/>
        </w:rPr>
      </w:pPr>
    </w:p>
    <w:p>
      <w:pPr>
        <w:ind w:left="640"/>
        <w:spacing w:after="0" w:line="366" w:lineRule="exact"/>
        <w:tabs>
          <w:tab w:leader="none" w:pos="2220" w:val="left"/>
        </w:tabs>
        <w:rPr>
          <w:sz w:val="20"/>
          <w:szCs w:val="20"/>
          <w:color w:val="auto"/>
        </w:rPr>
      </w:pPr>
      <w:r>
        <w:rPr>
          <w:rFonts w:ascii="宋体" w:cs="宋体" w:eastAsia="宋体" w:hAnsi="宋体"/>
          <w:sz w:val="32"/>
          <w:szCs w:val="32"/>
          <w:b w:val="1"/>
          <w:bCs w:val="1"/>
          <w:color w:val="auto"/>
        </w:rPr>
        <w:t>第十五条</w:t>
      </w:r>
      <w:r>
        <w:rPr>
          <w:sz w:val="20"/>
          <w:szCs w:val="20"/>
          <w:color w:val="auto"/>
        </w:rPr>
        <w:tab/>
      </w:r>
      <w:r>
        <w:rPr>
          <w:rFonts w:ascii="宋体" w:cs="宋体" w:eastAsia="宋体" w:hAnsi="宋体"/>
          <w:sz w:val="31"/>
          <w:szCs w:val="31"/>
          <w:color w:val="auto"/>
        </w:rPr>
        <w:t>统一实行网上申报，申办方提交以下材料：</w:t>
      </w:r>
    </w:p>
    <w:p>
      <w:pPr>
        <w:spacing w:after="0" w:line="185"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（一）《珠海市高端学术交流资助项目申报书》；</w:t>
      </w:r>
    </w:p>
    <w:p>
      <w:pPr>
        <w:spacing w:after="0" w:line="182"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（二） 项目批准（授权）文件；</w:t>
      </w:r>
    </w:p>
    <w:p>
      <w:pPr>
        <w:spacing w:after="0" w:line="185" w:lineRule="exact"/>
        <w:rPr>
          <w:sz w:val="20"/>
          <w:szCs w:val="20"/>
          <w:color w:val="auto"/>
        </w:rPr>
      </w:pPr>
    </w:p>
    <w:p>
      <w:pPr>
        <w:ind w:right="160" w:firstLine="646"/>
        <w:spacing w:after="0" w:line="484" w:lineRule="exact"/>
        <w:rPr>
          <w:sz w:val="20"/>
          <w:szCs w:val="20"/>
          <w:color w:val="auto"/>
        </w:rPr>
      </w:pPr>
      <w:r>
        <w:rPr>
          <w:rFonts w:ascii="宋体" w:cs="宋体" w:eastAsia="宋体" w:hAnsi="宋体"/>
          <w:sz w:val="32"/>
          <w:szCs w:val="32"/>
          <w:color w:val="auto"/>
        </w:rPr>
        <w:t>（三）申办方情况介绍、法人证书</w:t>
      </w:r>
      <w:r>
        <w:rPr>
          <w:rFonts w:ascii="Arial" w:cs="Arial" w:eastAsia="Arial" w:hAnsi="Arial"/>
          <w:sz w:val="32"/>
          <w:szCs w:val="32"/>
          <w:color w:val="auto"/>
        </w:rPr>
        <w:t xml:space="preserve"> (</w:t>
      </w:r>
      <w:r>
        <w:rPr>
          <w:rFonts w:ascii="宋体" w:cs="宋体" w:eastAsia="宋体" w:hAnsi="宋体"/>
          <w:sz w:val="32"/>
          <w:szCs w:val="32"/>
          <w:color w:val="auto"/>
        </w:rPr>
        <w:t>营业执照</w:t>
      </w:r>
      <w:r>
        <w:rPr>
          <w:rFonts w:ascii="Arial" w:cs="Arial" w:eastAsia="Arial" w:hAnsi="Arial"/>
          <w:sz w:val="32"/>
          <w:szCs w:val="32"/>
          <w:color w:val="auto"/>
        </w:rPr>
        <w:t>)</w:t>
      </w:r>
      <w:r>
        <w:rPr>
          <w:rFonts w:ascii="宋体" w:cs="宋体" w:eastAsia="宋体" w:hAnsi="宋体"/>
          <w:sz w:val="32"/>
          <w:szCs w:val="32"/>
          <w:color w:val="auto"/>
        </w:rPr>
        <w:t>和法人代表及经办人身份证复印件；</w:t>
      </w:r>
    </w:p>
    <w:p>
      <w:pPr>
        <w:spacing w:after="0" w:line="131"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（四）经费预算及详细方案。</w:t>
      </w:r>
    </w:p>
    <w:p>
      <w:pPr>
        <w:spacing w:after="0" w:line="185" w:lineRule="exact"/>
        <w:rPr>
          <w:sz w:val="20"/>
          <w:szCs w:val="20"/>
          <w:color w:val="auto"/>
        </w:rPr>
      </w:pPr>
    </w:p>
    <w:p>
      <w:pPr>
        <w:ind w:left="640"/>
        <w:spacing w:after="0" w:line="366" w:lineRule="exact"/>
        <w:rPr>
          <w:sz w:val="20"/>
          <w:szCs w:val="20"/>
          <w:color w:val="auto"/>
        </w:rPr>
      </w:pPr>
      <w:r>
        <w:rPr>
          <w:rFonts w:ascii="宋体" w:cs="宋体" w:eastAsia="宋体" w:hAnsi="宋体"/>
          <w:sz w:val="32"/>
          <w:szCs w:val="32"/>
          <w:color w:val="auto"/>
        </w:rPr>
        <w:t>网上审核通过后，市评审办对相关原件及材料进行查验。</w:t>
      </w:r>
    </w:p>
    <w:p>
      <w:pPr>
        <w:spacing w:after="0" w:line="185" w:lineRule="exact"/>
        <w:rPr>
          <w:sz w:val="20"/>
          <w:szCs w:val="20"/>
          <w:color w:val="auto"/>
        </w:rPr>
      </w:pPr>
    </w:p>
    <w:p>
      <w:pPr>
        <w:ind w:right="160" w:firstLine="646"/>
        <w:spacing w:after="0" w:line="484" w:lineRule="exact"/>
        <w:rPr>
          <w:sz w:val="20"/>
          <w:szCs w:val="20"/>
          <w:color w:val="auto"/>
        </w:rPr>
      </w:pPr>
      <w:r>
        <w:rPr>
          <w:rFonts w:ascii="宋体" w:cs="宋体" w:eastAsia="宋体" w:hAnsi="宋体"/>
          <w:sz w:val="32"/>
          <w:szCs w:val="32"/>
          <w:b w:val="1"/>
          <w:bCs w:val="1"/>
          <w:color w:val="auto"/>
        </w:rPr>
        <w:t xml:space="preserve">第十六条 </w:t>
      </w:r>
      <w:r>
        <w:rPr>
          <w:rFonts w:ascii="宋体" w:cs="宋体" w:eastAsia="宋体" w:hAnsi="宋体"/>
          <w:sz w:val="32"/>
          <w:szCs w:val="32"/>
          <w:color w:val="auto"/>
        </w:rPr>
        <w:t>立项评审由市评审委员会组织实施。依据评审标准，量化打分，根据得分结果提出立项建议。</w:t>
      </w:r>
    </w:p>
    <w:p>
      <w:pPr>
        <w:sectPr>
          <w:pgSz w:w="11900" w:h="16838" w:orient="portrait"/>
          <w:cols w:equalWidth="0" w:num="1">
            <w:col w:w="9780"/>
          </w:cols>
          <w:pgMar w:left="1140" w:top="1440" w:right="986" w:bottom="433" w:gutter="0" w:footer="0" w:header="0"/>
        </w:sectPr>
      </w:pPr>
    </w:p>
    <w:bookmarkStart w:id="7" w:name="page8"/>
    <w:bookmarkEnd w:id="7"/>
    <w:p>
      <w:pPr>
        <w:spacing w:after="0" w:line="325" w:lineRule="exact"/>
        <w:rPr>
          <w:sz w:val="20"/>
          <w:szCs w:val="20"/>
          <w:color w:val="auto"/>
        </w:rPr>
      </w:pPr>
    </w:p>
    <w:p>
      <w:pPr>
        <w:jc w:val="both"/>
        <w:ind w:right="180" w:firstLine="646"/>
        <w:spacing w:after="0" w:line="505" w:lineRule="exact"/>
        <w:rPr>
          <w:sz w:val="20"/>
          <w:szCs w:val="20"/>
          <w:color w:val="auto"/>
        </w:rPr>
      </w:pPr>
      <w:r>
        <w:rPr>
          <w:rFonts w:ascii="宋体" w:cs="宋体" w:eastAsia="宋体" w:hAnsi="宋体"/>
          <w:sz w:val="32"/>
          <w:szCs w:val="32"/>
          <w:b w:val="1"/>
          <w:bCs w:val="1"/>
          <w:color w:val="auto"/>
        </w:rPr>
        <w:t xml:space="preserve">第十七条 </w:t>
      </w:r>
      <w:r>
        <w:rPr>
          <w:rFonts w:ascii="宋体" w:cs="宋体" w:eastAsia="宋体" w:hAnsi="宋体"/>
          <w:sz w:val="32"/>
          <w:szCs w:val="32"/>
          <w:color w:val="auto"/>
        </w:rPr>
        <w:t>市科协确定拟立项项目，向社会公示；公示结果报市政府审批同意后，报市财政部门和市人才办报备；市科协发布资助公告，与立项项目申办方签订资助协议。</w:t>
      </w:r>
    </w:p>
    <w:p>
      <w:pPr>
        <w:spacing w:after="0" w:line="134" w:lineRule="exact"/>
        <w:rPr>
          <w:sz w:val="20"/>
          <w:szCs w:val="20"/>
          <w:color w:val="auto"/>
        </w:rPr>
      </w:pPr>
    </w:p>
    <w:p>
      <w:pPr>
        <w:jc w:val="both"/>
        <w:ind w:right="180" w:firstLine="644"/>
        <w:spacing w:after="0" w:line="483" w:lineRule="exact"/>
        <w:rPr>
          <w:sz w:val="20"/>
          <w:szCs w:val="20"/>
          <w:color w:val="auto"/>
        </w:rPr>
      </w:pPr>
      <w:r>
        <w:rPr>
          <w:rFonts w:ascii="宋体" w:cs="宋体" w:eastAsia="宋体" w:hAnsi="宋体"/>
          <w:sz w:val="32"/>
          <w:szCs w:val="32"/>
          <w:b w:val="1"/>
          <w:bCs w:val="1"/>
          <w:color w:val="auto"/>
        </w:rPr>
        <w:t xml:space="preserve">第十八条 </w:t>
      </w:r>
      <w:r>
        <w:rPr>
          <w:rFonts w:ascii="宋体" w:cs="宋体" w:eastAsia="宋体" w:hAnsi="宋体"/>
          <w:sz w:val="32"/>
          <w:szCs w:val="32"/>
          <w:color w:val="auto"/>
        </w:rPr>
        <w:t>对拟立项项目有异议，应在公示期内实名向市评审办书面提出，逾期不予受理。</w:t>
      </w:r>
    </w:p>
    <w:p>
      <w:pPr>
        <w:spacing w:after="0" w:line="133" w:lineRule="exact"/>
        <w:rPr>
          <w:sz w:val="20"/>
          <w:szCs w:val="20"/>
          <w:color w:val="auto"/>
        </w:rPr>
      </w:pPr>
    </w:p>
    <w:p>
      <w:pPr>
        <w:jc w:val="both"/>
        <w:ind w:right="160" w:firstLine="639"/>
        <w:spacing w:after="0" w:line="505" w:lineRule="exact"/>
        <w:rPr>
          <w:sz w:val="20"/>
          <w:szCs w:val="20"/>
          <w:color w:val="auto"/>
        </w:rPr>
      </w:pPr>
      <w:r>
        <w:rPr>
          <w:rFonts w:ascii="宋体" w:cs="宋体" w:eastAsia="宋体" w:hAnsi="宋体"/>
          <w:sz w:val="32"/>
          <w:szCs w:val="32"/>
          <w:b w:val="1"/>
          <w:bCs w:val="1"/>
          <w:color w:val="auto"/>
        </w:rPr>
        <w:t xml:space="preserve">第十九条 </w:t>
      </w:r>
      <w:r>
        <w:rPr>
          <w:rFonts w:ascii="宋体" w:cs="宋体" w:eastAsia="宋体" w:hAnsi="宋体"/>
          <w:sz w:val="32"/>
          <w:szCs w:val="32"/>
          <w:color w:val="auto"/>
        </w:rPr>
        <w:t>对有异议的项目，经市科协组织复议（核查）情况属实，有必要重新评审的，由市评审委员会重新组织评审（重新评审以一次为限）。</w:t>
      </w:r>
    </w:p>
    <w:p>
      <w:pPr>
        <w:spacing w:after="0" w:line="132" w:lineRule="exact"/>
        <w:rPr>
          <w:sz w:val="20"/>
          <w:szCs w:val="20"/>
          <w:color w:val="auto"/>
        </w:rPr>
      </w:pPr>
    </w:p>
    <w:p>
      <w:pPr>
        <w:ind w:left="2560"/>
        <w:spacing w:after="0" w:line="366" w:lineRule="exact"/>
        <w:tabs>
          <w:tab w:leader="none" w:pos="3820" w:val="left"/>
        </w:tabs>
        <w:rPr>
          <w:sz w:val="20"/>
          <w:szCs w:val="20"/>
          <w:color w:val="auto"/>
        </w:rPr>
      </w:pPr>
      <w:r>
        <w:rPr>
          <w:rFonts w:ascii="黑体" w:cs="黑体" w:eastAsia="黑体" w:hAnsi="黑体"/>
          <w:sz w:val="32"/>
          <w:szCs w:val="32"/>
          <w:color w:val="auto"/>
        </w:rPr>
        <w:t>第五章</w:t>
      </w:r>
      <w:r>
        <w:rPr>
          <w:sz w:val="20"/>
          <w:szCs w:val="20"/>
          <w:color w:val="auto"/>
        </w:rPr>
        <w:tab/>
      </w:r>
      <w:r>
        <w:rPr>
          <w:rFonts w:ascii="黑体" w:cs="黑体" w:eastAsia="黑体" w:hAnsi="黑体"/>
          <w:sz w:val="31"/>
          <w:szCs w:val="31"/>
          <w:color w:val="auto"/>
        </w:rPr>
        <w:t>管理与监督</w:t>
      </w:r>
    </w:p>
    <w:p>
      <w:pPr>
        <w:spacing w:after="0" w:line="115" w:lineRule="exact"/>
        <w:rPr>
          <w:sz w:val="20"/>
          <w:szCs w:val="20"/>
          <w:color w:val="auto"/>
        </w:rPr>
      </w:pPr>
    </w:p>
    <w:p>
      <w:pPr>
        <w:jc w:val="both"/>
        <w:ind w:right="180" w:firstLine="646"/>
        <w:spacing w:after="0" w:line="505" w:lineRule="exact"/>
        <w:rPr>
          <w:sz w:val="20"/>
          <w:szCs w:val="20"/>
          <w:color w:val="auto"/>
        </w:rPr>
      </w:pPr>
      <w:r>
        <w:rPr>
          <w:rFonts w:ascii="宋体" w:cs="宋体" w:eastAsia="宋体" w:hAnsi="宋体"/>
          <w:sz w:val="32"/>
          <w:szCs w:val="32"/>
          <w:b w:val="1"/>
          <w:bCs w:val="1"/>
          <w:color w:val="auto"/>
        </w:rPr>
        <w:t xml:space="preserve">第二十条 </w:t>
      </w:r>
      <w:r>
        <w:rPr>
          <w:rFonts w:ascii="宋体" w:cs="宋体" w:eastAsia="宋体" w:hAnsi="宋体"/>
          <w:sz w:val="32"/>
          <w:szCs w:val="32"/>
          <w:color w:val="auto"/>
        </w:rPr>
        <w:t>立项项目实行现场审核。在项目举办期间，市评审委员会根据项目协议内容，进行现场比对审核，审核结果作为项目验收的主要依据。</w:t>
      </w:r>
    </w:p>
    <w:p>
      <w:pPr>
        <w:spacing w:after="0" w:line="132" w:lineRule="exact"/>
        <w:rPr>
          <w:sz w:val="20"/>
          <w:szCs w:val="20"/>
          <w:color w:val="auto"/>
        </w:rPr>
      </w:pPr>
    </w:p>
    <w:p>
      <w:pPr>
        <w:jc w:val="both"/>
        <w:ind w:right="180" w:firstLine="639"/>
        <w:spacing w:after="0" w:line="484" w:lineRule="exact"/>
        <w:rPr>
          <w:sz w:val="20"/>
          <w:szCs w:val="20"/>
          <w:color w:val="auto"/>
        </w:rPr>
      </w:pPr>
      <w:r>
        <w:rPr>
          <w:rFonts w:ascii="宋体" w:cs="宋体" w:eastAsia="宋体" w:hAnsi="宋体"/>
          <w:sz w:val="32"/>
          <w:szCs w:val="32"/>
          <w:b w:val="1"/>
          <w:bCs w:val="1"/>
          <w:color w:val="auto"/>
        </w:rPr>
        <w:t xml:space="preserve">第二十一条 </w:t>
      </w:r>
      <w:r>
        <w:rPr>
          <w:rFonts w:ascii="宋体" w:cs="宋体" w:eastAsia="宋体" w:hAnsi="宋体"/>
          <w:sz w:val="32"/>
          <w:szCs w:val="32"/>
          <w:color w:val="auto"/>
        </w:rPr>
        <w:t>支付方式以事后支付为主，项目验收通过后一次性划拨。</w:t>
      </w:r>
    </w:p>
    <w:p>
      <w:pPr>
        <w:spacing w:after="0" w:line="132" w:lineRule="exact"/>
        <w:rPr>
          <w:sz w:val="20"/>
          <w:szCs w:val="20"/>
          <w:color w:val="auto"/>
        </w:rPr>
      </w:pPr>
    </w:p>
    <w:p>
      <w:pPr>
        <w:jc w:val="both"/>
        <w:ind w:right="160" w:firstLine="639"/>
        <w:spacing w:after="0" w:line="482" w:lineRule="exact"/>
        <w:rPr>
          <w:sz w:val="20"/>
          <w:szCs w:val="20"/>
          <w:color w:val="auto"/>
        </w:rPr>
      </w:pPr>
      <w:r>
        <w:rPr>
          <w:rFonts w:ascii="宋体" w:cs="宋体" w:eastAsia="宋体" w:hAnsi="宋体"/>
          <w:sz w:val="32"/>
          <w:szCs w:val="32"/>
          <w:color w:val="auto"/>
        </w:rPr>
        <w:t>特殊情况需预付资金，由申办方向市科协提出申请，经审核通过后，签定协议，可支付不超过该项目资助额</w:t>
      </w:r>
      <w:r>
        <w:rPr>
          <w:rFonts w:ascii="Arial" w:cs="Arial" w:eastAsia="Arial" w:hAnsi="Arial"/>
          <w:sz w:val="32"/>
          <w:szCs w:val="32"/>
          <w:color w:val="auto"/>
        </w:rPr>
        <w:t xml:space="preserve"> 30%</w:t>
      </w:r>
      <w:r>
        <w:rPr>
          <w:rFonts w:ascii="宋体" w:cs="宋体" w:eastAsia="宋体" w:hAnsi="宋体"/>
          <w:sz w:val="32"/>
          <w:szCs w:val="32"/>
          <w:color w:val="auto"/>
        </w:rPr>
        <w:t>的预付款。</w:t>
      </w:r>
    </w:p>
    <w:p>
      <w:pPr>
        <w:spacing w:after="0" w:line="134" w:lineRule="exact"/>
        <w:rPr>
          <w:sz w:val="20"/>
          <w:szCs w:val="20"/>
          <w:color w:val="auto"/>
        </w:rPr>
      </w:pPr>
    </w:p>
    <w:p>
      <w:pPr>
        <w:jc w:val="both"/>
        <w:ind w:right="180" w:firstLine="639"/>
        <w:spacing w:after="0" w:line="484" w:lineRule="exact"/>
        <w:rPr>
          <w:sz w:val="20"/>
          <w:szCs w:val="20"/>
          <w:color w:val="auto"/>
        </w:rPr>
      </w:pPr>
      <w:r>
        <w:rPr>
          <w:rFonts w:ascii="宋体" w:cs="宋体" w:eastAsia="宋体" w:hAnsi="宋体"/>
          <w:sz w:val="32"/>
          <w:szCs w:val="32"/>
          <w:b w:val="1"/>
          <w:bCs w:val="1"/>
          <w:color w:val="auto"/>
        </w:rPr>
        <w:t xml:space="preserve">第二十二条 </w:t>
      </w:r>
      <w:r>
        <w:rPr>
          <w:rFonts w:ascii="宋体" w:cs="宋体" w:eastAsia="宋体" w:hAnsi="宋体"/>
          <w:sz w:val="32"/>
          <w:szCs w:val="32"/>
          <w:color w:val="auto"/>
        </w:rPr>
        <w:t>项目验收可委托第三方组织进行，验收内容包括现场审核结果、申办方总结材料、财务审计报告等。</w:t>
      </w:r>
    </w:p>
    <w:p>
      <w:pPr>
        <w:spacing w:after="0" w:line="133" w:lineRule="exact"/>
        <w:rPr>
          <w:sz w:val="20"/>
          <w:szCs w:val="20"/>
          <w:color w:val="auto"/>
        </w:rPr>
      </w:pPr>
    </w:p>
    <w:p>
      <w:pPr>
        <w:jc w:val="both"/>
        <w:ind w:right="180" w:firstLine="646"/>
        <w:spacing w:after="0" w:line="483" w:lineRule="exact"/>
        <w:rPr>
          <w:sz w:val="20"/>
          <w:szCs w:val="20"/>
          <w:color w:val="auto"/>
        </w:rPr>
      </w:pPr>
      <w:r>
        <w:rPr>
          <w:rFonts w:ascii="宋体" w:cs="宋体" w:eastAsia="宋体" w:hAnsi="宋体"/>
          <w:sz w:val="32"/>
          <w:szCs w:val="32"/>
          <w:b w:val="1"/>
          <w:bCs w:val="1"/>
          <w:color w:val="auto"/>
        </w:rPr>
        <w:t xml:space="preserve">第二十三条 </w:t>
      </w:r>
      <w:r>
        <w:rPr>
          <w:rFonts w:ascii="宋体" w:cs="宋体" w:eastAsia="宋体" w:hAnsi="宋体"/>
          <w:sz w:val="32"/>
          <w:szCs w:val="32"/>
          <w:color w:val="auto"/>
        </w:rPr>
        <w:t>项目资助资金按《珠海市市级财政专项资金管理办法》规定，专款专用。</w:t>
      </w:r>
    </w:p>
    <w:p>
      <w:pPr>
        <w:spacing w:after="0" w:line="133" w:lineRule="exact"/>
        <w:rPr>
          <w:sz w:val="20"/>
          <w:szCs w:val="20"/>
          <w:color w:val="auto"/>
        </w:rPr>
      </w:pPr>
    </w:p>
    <w:p>
      <w:pPr>
        <w:jc w:val="both"/>
        <w:ind w:right="180" w:firstLine="646"/>
        <w:spacing w:after="0" w:line="516" w:lineRule="exact"/>
        <w:rPr>
          <w:sz w:val="20"/>
          <w:szCs w:val="20"/>
          <w:color w:val="auto"/>
        </w:rPr>
      </w:pPr>
      <w:r>
        <w:rPr>
          <w:rFonts w:ascii="宋体" w:cs="宋体" w:eastAsia="宋体" w:hAnsi="宋体"/>
          <w:sz w:val="32"/>
          <w:szCs w:val="32"/>
          <w:b w:val="1"/>
          <w:bCs w:val="1"/>
          <w:color w:val="auto"/>
        </w:rPr>
        <w:t xml:space="preserve">第二十四条 </w:t>
      </w:r>
      <w:r>
        <w:rPr>
          <w:rFonts w:ascii="宋体" w:cs="宋体" w:eastAsia="宋体" w:hAnsi="宋体"/>
          <w:sz w:val="32"/>
          <w:szCs w:val="32"/>
          <w:color w:val="auto"/>
        </w:rPr>
        <w:t>申办方不能履行协议，必须及时向市科协提出中止申请，承担相关违约责任，并全额返还预付款；申办方不能充分履行协议，或项目验收达不到协议约定效果，申办方须承担相应责任，市科协视情对项目资助金额作出调减。</w:t>
      </w:r>
    </w:p>
    <w:p>
      <w:pPr>
        <w:spacing w:after="0" w:line="134" w:lineRule="exact"/>
        <w:rPr>
          <w:sz w:val="20"/>
          <w:szCs w:val="20"/>
          <w:color w:val="auto"/>
        </w:rPr>
      </w:pPr>
    </w:p>
    <w:p>
      <w:pPr>
        <w:ind w:firstLine="646"/>
        <w:spacing w:after="0" w:line="484" w:lineRule="exact"/>
        <w:rPr>
          <w:sz w:val="20"/>
          <w:szCs w:val="20"/>
          <w:color w:val="auto"/>
        </w:rPr>
      </w:pPr>
      <w:r>
        <w:rPr>
          <w:rFonts w:ascii="宋体" w:cs="宋体" w:eastAsia="宋体" w:hAnsi="宋体"/>
          <w:sz w:val="32"/>
          <w:szCs w:val="32"/>
          <w:b w:val="1"/>
          <w:bCs w:val="1"/>
          <w:color w:val="auto"/>
        </w:rPr>
        <w:t xml:space="preserve">第二十五条 </w:t>
      </w:r>
      <w:r>
        <w:rPr>
          <w:rFonts w:ascii="宋体" w:cs="宋体" w:eastAsia="宋体" w:hAnsi="宋体"/>
          <w:sz w:val="32"/>
          <w:szCs w:val="32"/>
          <w:color w:val="auto"/>
        </w:rPr>
        <w:t>对项目申报和实施过程中弄虚作假，违反科学道德、伦理，一经核实，取消申报或资助资格，已获得项目资助的依法追缴</w:t>
      </w:r>
    </w:p>
    <w:p>
      <w:pPr>
        <w:sectPr>
          <w:pgSz w:w="11900" w:h="16838" w:orient="portrait"/>
          <w:cols w:equalWidth="0" w:num="1">
            <w:col w:w="9800"/>
          </w:cols>
          <w:pgMar w:left="1140" w:top="1440" w:right="966" w:bottom="433" w:gutter="0" w:footer="0" w:header="0"/>
        </w:sectPr>
      </w:pPr>
    </w:p>
    <w:bookmarkStart w:id="8" w:name="page9"/>
    <w:bookmarkEnd w:id="8"/>
    <w:p>
      <w:pPr>
        <w:spacing w:after="0" w:line="325" w:lineRule="exact"/>
        <w:rPr>
          <w:sz w:val="20"/>
          <w:szCs w:val="20"/>
          <w:color w:val="auto"/>
        </w:rPr>
      </w:pPr>
    </w:p>
    <w:p>
      <w:pPr>
        <w:spacing w:after="0" w:line="484" w:lineRule="exact"/>
        <w:rPr>
          <w:sz w:val="20"/>
          <w:szCs w:val="20"/>
          <w:color w:val="auto"/>
        </w:rPr>
      </w:pPr>
      <w:r>
        <w:rPr>
          <w:rFonts w:ascii="宋体" w:cs="宋体" w:eastAsia="宋体" w:hAnsi="宋体"/>
          <w:sz w:val="32"/>
          <w:szCs w:val="32"/>
          <w:color w:val="auto"/>
        </w:rPr>
        <w:t>资助经费，并纳入诚信黑名单，三年内不得申报市财政资金支持；违法或犯罪的，由相关部门依法处理或追究刑事责任。</w:t>
      </w:r>
    </w:p>
    <w:p>
      <w:pPr>
        <w:spacing w:after="0" w:line="132" w:lineRule="exact"/>
        <w:rPr>
          <w:sz w:val="20"/>
          <w:szCs w:val="20"/>
          <w:color w:val="auto"/>
        </w:rPr>
      </w:pPr>
    </w:p>
    <w:p>
      <w:pPr>
        <w:jc w:val="center"/>
        <w:ind w:left="3780"/>
        <w:spacing w:after="0" w:line="366" w:lineRule="exact"/>
        <w:tabs>
          <w:tab w:leader="none" w:pos="300" w:val="left"/>
        </w:tabs>
        <w:rPr>
          <w:sz w:val="20"/>
          <w:szCs w:val="20"/>
          <w:color w:val="auto"/>
        </w:rPr>
      </w:pPr>
      <w:r>
        <w:rPr>
          <w:rFonts w:ascii="黑体" w:cs="黑体" w:eastAsia="黑体" w:hAnsi="黑体"/>
          <w:sz w:val="32"/>
          <w:szCs w:val="32"/>
          <w:color w:val="auto"/>
        </w:rPr>
        <w:t>第六章</w:t>
        <w:tab/>
        <w:t>附 则</w:t>
      </w:r>
    </w:p>
    <w:p>
      <w:pPr>
        <w:spacing w:after="0" w:line="115" w:lineRule="exact"/>
        <w:rPr>
          <w:sz w:val="20"/>
          <w:szCs w:val="20"/>
          <w:color w:val="auto"/>
        </w:rPr>
      </w:pPr>
    </w:p>
    <w:p>
      <w:pPr>
        <w:ind w:right="20" w:firstLine="639"/>
        <w:spacing w:after="0" w:line="484" w:lineRule="exact"/>
        <w:rPr>
          <w:sz w:val="20"/>
          <w:szCs w:val="20"/>
          <w:color w:val="auto"/>
        </w:rPr>
      </w:pPr>
      <w:r>
        <w:rPr>
          <w:rFonts w:ascii="宋体" w:cs="宋体" w:eastAsia="宋体" w:hAnsi="宋体"/>
          <w:sz w:val="32"/>
          <w:szCs w:val="32"/>
          <w:b w:val="1"/>
          <w:bCs w:val="1"/>
          <w:color w:val="auto"/>
        </w:rPr>
        <w:t xml:space="preserve">第二十六条 </w:t>
      </w:r>
      <w:r>
        <w:rPr>
          <w:rFonts w:ascii="宋体" w:cs="宋体" w:eastAsia="宋体" w:hAnsi="宋体"/>
          <w:sz w:val="32"/>
          <w:szCs w:val="32"/>
          <w:color w:val="auto"/>
        </w:rPr>
        <w:t>市科协根据本办法制定《珠海市高端学术交流资助办法实施细则（试行）》。</w:t>
      </w:r>
    </w:p>
    <w:p>
      <w:pPr>
        <w:spacing w:after="0" w:line="130" w:lineRule="exact"/>
        <w:rPr>
          <w:sz w:val="20"/>
          <w:szCs w:val="20"/>
          <w:color w:val="auto"/>
        </w:rPr>
      </w:pPr>
    </w:p>
    <w:p>
      <w:pPr>
        <w:ind w:left="640"/>
        <w:spacing w:after="0" w:line="366" w:lineRule="exact"/>
        <w:tabs>
          <w:tab w:leader="none" w:pos="2540" w:val="left"/>
        </w:tabs>
        <w:rPr>
          <w:sz w:val="20"/>
          <w:szCs w:val="20"/>
          <w:color w:val="auto"/>
        </w:rPr>
      </w:pPr>
      <w:r>
        <w:rPr>
          <w:rFonts w:ascii="宋体" w:cs="宋体" w:eastAsia="宋体" w:hAnsi="宋体"/>
          <w:sz w:val="32"/>
          <w:szCs w:val="32"/>
          <w:b w:val="1"/>
          <w:bCs w:val="1"/>
          <w:color w:val="auto"/>
        </w:rPr>
        <w:t>第二十七条</w:t>
      </w:r>
      <w:r>
        <w:rPr>
          <w:sz w:val="20"/>
          <w:szCs w:val="20"/>
          <w:color w:val="auto"/>
        </w:rPr>
        <w:tab/>
      </w:r>
      <w:r>
        <w:rPr>
          <w:rFonts w:ascii="宋体" w:cs="宋体" w:eastAsia="宋体" w:hAnsi="宋体"/>
          <w:sz w:val="31"/>
          <w:szCs w:val="31"/>
          <w:color w:val="auto"/>
        </w:rPr>
        <w:t>本办法由市科协负责解释。</w:t>
      </w:r>
    </w:p>
    <w:p>
      <w:pPr>
        <w:spacing w:after="0" w:line="185" w:lineRule="exact"/>
        <w:rPr>
          <w:sz w:val="20"/>
          <w:szCs w:val="20"/>
          <w:color w:val="auto"/>
        </w:rPr>
      </w:pPr>
    </w:p>
    <w:p>
      <w:pPr>
        <w:ind w:left="640"/>
        <w:spacing w:after="0" w:line="366" w:lineRule="exact"/>
        <w:tabs>
          <w:tab w:leader="none" w:pos="2540" w:val="left"/>
        </w:tabs>
        <w:rPr>
          <w:sz w:val="20"/>
          <w:szCs w:val="20"/>
          <w:color w:val="auto"/>
        </w:rPr>
      </w:pPr>
      <w:r>
        <w:rPr>
          <w:rFonts w:ascii="宋体" w:cs="宋体" w:eastAsia="宋体" w:hAnsi="宋体"/>
          <w:sz w:val="32"/>
          <w:szCs w:val="32"/>
          <w:b w:val="1"/>
          <w:bCs w:val="1"/>
          <w:color w:val="auto"/>
        </w:rPr>
        <w:t>第二十八条</w:t>
      </w:r>
      <w:r>
        <w:rPr>
          <w:sz w:val="20"/>
          <w:szCs w:val="20"/>
          <w:color w:val="auto"/>
        </w:rPr>
        <w:tab/>
      </w:r>
      <w:r>
        <w:rPr>
          <w:rFonts w:ascii="宋体" w:cs="宋体" w:eastAsia="宋体" w:hAnsi="宋体"/>
          <w:sz w:val="31"/>
          <w:szCs w:val="31"/>
          <w:color w:val="auto"/>
        </w:rPr>
        <w:t>本办法自印发之日起施行，有效期三年</w:t>
      </w:r>
      <w:r>
        <w:rPr>
          <w:rFonts w:ascii="宋体" w:cs="宋体" w:eastAsia="宋体" w:hAnsi="宋体"/>
          <w:sz w:val="26"/>
          <w:szCs w:val="26"/>
          <w:color w:val="auto"/>
        </w:rPr>
        <w:t>。</w:t>
      </w:r>
    </w:p>
    <w:sectPr>
      <w:pgSz w:w="11900" w:h="16838" w:orient="portrait"/>
      <w:cols w:equalWidth="0" w:num="1">
        <w:col w:w="9620"/>
      </w:cols>
      <w:pgMar w:left="1140" w:top="1440"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2019-08-12T15:10:32Z</dcterms:created>
  <dcterms:modified xsi:type="dcterms:W3CDTF">2019-08-12T15:10:32Z</dcterms:modified>
</cp:coreProperties>
</file>