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412"/>
        </w:tabs>
        <w:autoSpaceDE w:val="0"/>
        <w:autoSpaceDN w:val="0"/>
        <w:adjustRightInd w:val="0"/>
        <w:snapToGrid w:val="0"/>
        <w:spacing w:before="240" w:after="240" w:line="560" w:lineRule="exact"/>
        <w:ind w:firstLine="602"/>
        <w:jc w:val="left"/>
        <w:rPr>
          <w:rFonts w:ascii="仿宋" w:hAnsi="仿宋" w:eastAsia="仿宋" w:cs="仿宋"/>
          <w:b/>
          <w:bCs/>
          <w:sz w:val="30"/>
          <w:szCs w:val="30"/>
        </w:rPr>
      </w:pPr>
      <w:r>
        <w:rPr>
          <w:rFonts w:hint="eastAsia" w:ascii="仿宋" w:hAnsi="仿宋" w:eastAsia="仿宋" w:cs="仿宋"/>
          <w:b/>
          <w:bCs/>
          <w:sz w:val="30"/>
          <w:szCs w:val="30"/>
          <w:lang w:val="en-US" w:eastAsia="zh-CN"/>
        </w:rPr>
        <w:t>专题培训议程</w:t>
      </w:r>
      <w:r>
        <w:rPr>
          <w:rFonts w:hint="eastAsia" w:ascii="仿宋" w:hAnsi="仿宋" w:eastAsia="仿宋" w:cs="仿宋"/>
          <w:b/>
          <w:bCs/>
          <w:sz w:val="30"/>
          <w:szCs w:val="30"/>
        </w:rPr>
        <w:t>：</w:t>
      </w:r>
    </w:p>
    <w:p>
      <w:pPr>
        <w:pStyle w:val="4"/>
        <w:tabs>
          <w:tab w:val="left" w:pos="412"/>
        </w:tabs>
        <w:autoSpaceDE w:val="0"/>
        <w:autoSpaceDN w:val="0"/>
        <w:spacing w:line="560" w:lineRule="exact"/>
        <w:ind w:firstLine="582"/>
        <w:jc w:val="left"/>
        <w:rPr>
          <w:rFonts w:ascii="仿宋" w:hAnsi="仿宋" w:eastAsia="仿宋" w:cs="仿宋"/>
          <w:b/>
          <w:bCs/>
          <w:color w:val="000007"/>
          <w:spacing w:val="-5"/>
          <w:sz w:val="30"/>
          <w:szCs w:val="30"/>
        </w:rPr>
      </w:pPr>
      <w:r>
        <w:rPr>
          <w:rFonts w:hint="eastAsia" w:ascii="仿宋" w:hAnsi="仿宋" w:eastAsia="仿宋" w:cs="仿宋"/>
          <w:b/>
          <w:bCs/>
          <w:color w:val="000007"/>
          <w:spacing w:val="-5"/>
          <w:sz w:val="30"/>
          <w:szCs w:val="30"/>
        </w:rPr>
        <w:t>1、商标与品牌的区别（商标注册的重要性）</w:t>
      </w:r>
    </w:p>
    <w:p>
      <w:pPr>
        <w:pStyle w:val="4"/>
        <w:tabs>
          <w:tab w:val="left" w:pos="412"/>
        </w:tabs>
        <w:autoSpaceDE w:val="0"/>
        <w:autoSpaceDN w:val="0"/>
        <w:spacing w:line="560" w:lineRule="exact"/>
        <w:ind w:firstLine="582"/>
        <w:jc w:val="left"/>
        <w:rPr>
          <w:rFonts w:ascii="仿宋" w:hAnsi="仿宋" w:eastAsia="仿宋" w:cs="仿宋"/>
          <w:b/>
          <w:bCs/>
          <w:color w:val="000007"/>
          <w:spacing w:val="-5"/>
          <w:sz w:val="30"/>
          <w:szCs w:val="30"/>
        </w:rPr>
      </w:pPr>
      <w:r>
        <w:rPr>
          <w:rFonts w:hint="eastAsia" w:ascii="仿宋" w:hAnsi="仿宋" w:eastAsia="仿宋" w:cs="仿宋"/>
          <w:b/>
          <w:bCs/>
          <w:color w:val="000007"/>
          <w:spacing w:val="-5"/>
          <w:sz w:val="30"/>
          <w:szCs w:val="30"/>
        </w:rPr>
        <w:t>2、中国商标注册策略及案例</w:t>
      </w:r>
    </w:p>
    <w:p>
      <w:pPr>
        <w:pStyle w:val="4"/>
        <w:tabs>
          <w:tab w:val="left" w:pos="412"/>
        </w:tabs>
        <w:autoSpaceDE w:val="0"/>
        <w:autoSpaceDN w:val="0"/>
        <w:spacing w:line="560" w:lineRule="exact"/>
        <w:ind w:firstLine="580"/>
        <w:jc w:val="left"/>
        <w:rPr>
          <w:rFonts w:ascii="仿宋" w:hAnsi="仿宋" w:eastAsia="仿宋" w:cs="仿宋"/>
          <w:color w:val="000007"/>
          <w:spacing w:val="-5"/>
          <w:sz w:val="30"/>
          <w:szCs w:val="30"/>
        </w:rPr>
      </w:pPr>
      <w:r>
        <w:rPr>
          <w:rFonts w:hint="eastAsia" w:ascii="仿宋" w:hAnsi="仿宋" w:eastAsia="仿宋" w:cs="仿宋"/>
          <w:color w:val="000007"/>
          <w:spacing w:val="-5"/>
          <w:sz w:val="30"/>
          <w:szCs w:val="30"/>
        </w:rPr>
        <w:t>（1）商标注册申请前的准备</w:t>
      </w:r>
    </w:p>
    <w:p>
      <w:pPr>
        <w:pStyle w:val="4"/>
        <w:tabs>
          <w:tab w:val="left" w:pos="412"/>
        </w:tabs>
        <w:autoSpaceDE w:val="0"/>
        <w:autoSpaceDN w:val="0"/>
        <w:spacing w:line="560" w:lineRule="exact"/>
        <w:ind w:firstLine="580"/>
        <w:jc w:val="left"/>
        <w:rPr>
          <w:rFonts w:ascii="仿宋" w:hAnsi="仿宋" w:eastAsia="仿宋" w:cs="仿宋"/>
          <w:color w:val="000007"/>
          <w:spacing w:val="-5"/>
          <w:sz w:val="30"/>
          <w:szCs w:val="30"/>
        </w:rPr>
      </w:pPr>
      <w:r>
        <w:rPr>
          <w:rFonts w:hint="eastAsia" w:ascii="仿宋" w:hAnsi="仿宋" w:eastAsia="仿宋" w:cs="仿宋"/>
          <w:color w:val="000007"/>
          <w:spacing w:val="-5"/>
          <w:sz w:val="30"/>
          <w:szCs w:val="30"/>
        </w:rPr>
        <w:t>（2）中国商标注册流程简介</w:t>
      </w:r>
    </w:p>
    <w:p>
      <w:pPr>
        <w:pStyle w:val="4"/>
        <w:tabs>
          <w:tab w:val="left" w:pos="412"/>
        </w:tabs>
        <w:autoSpaceDE w:val="0"/>
        <w:autoSpaceDN w:val="0"/>
        <w:spacing w:line="560" w:lineRule="exact"/>
        <w:ind w:firstLine="580"/>
        <w:jc w:val="left"/>
        <w:rPr>
          <w:rFonts w:ascii="仿宋" w:hAnsi="仿宋" w:eastAsia="仿宋" w:cs="仿宋"/>
          <w:color w:val="000007"/>
          <w:spacing w:val="-5"/>
          <w:sz w:val="30"/>
          <w:szCs w:val="30"/>
        </w:rPr>
      </w:pPr>
      <w:r>
        <w:rPr>
          <w:rFonts w:hint="eastAsia" w:ascii="仿宋" w:hAnsi="仿宋" w:eastAsia="仿宋" w:cs="仿宋"/>
          <w:color w:val="000007"/>
          <w:spacing w:val="-5"/>
          <w:sz w:val="30"/>
          <w:szCs w:val="30"/>
        </w:rPr>
        <w:t>（3）驳回复审、质证、异议成功案例</w:t>
      </w:r>
    </w:p>
    <w:p>
      <w:pPr>
        <w:pStyle w:val="4"/>
        <w:tabs>
          <w:tab w:val="left" w:pos="412"/>
        </w:tabs>
        <w:autoSpaceDE w:val="0"/>
        <w:autoSpaceDN w:val="0"/>
        <w:spacing w:line="560" w:lineRule="exact"/>
        <w:ind w:firstLine="582"/>
        <w:jc w:val="left"/>
        <w:rPr>
          <w:rFonts w:ascii="仿宋" w:hAnsi="仿宋" w:eastAsia="仿宋" w:cs="仿宋"/>
          <w:b/>
          <w:bCs/>
          <w:color w:val="000007"/>
          <w:spacing w:val="-5"/>
          <w:sz w:val="30"/>
          <w:szCs w:val="30"/>
        </w:rPr>
      </w:pPr>
      <w:r>
        <w:rPr>
          <w:rFonts w:hint="eastAsia" w:ascii="仿宋" w:hAnsi="仿宋" w:eastAsia="仿宋" w:cs="仿宋"/>
          <w:b/>
          <w:bCs/>
          <w:color w:val="000007"/>
          <w:spacing w:val="-5"/>
          <w:sz w:val="30"/>
          <w:szCs w:val="30"/>
        </w:rPr>
        <w:t>3、海外商标注册策略及案例</w:t>
      </w:r>
    </w:p>
    <w:p>
      <w:pPr>
        <w:pStyle w:val="4"/>
        <w:tabs>
          <w:tab w:val="left" w:pos="412"/>
        </w:tabs>
        <w:autoSpaceDE w:val="0"/>
        <w:autoSpaceDN w:val="0"/>
        <w:spacing w:line="560" w:lineRule="exact"/>
        <w:ind w:firstLine="580"/>
        <w:jc w:val="left"/>
        <w:rPr>
          <w:rFonts w:ascii="仿宋" w:hAnsi="仿宋" w:eastAsia="仿宋" w:cs="仿宋"/>
          <w:color w:val="000007"/>
          <w:spacing w:val="-5"/>
          <w:sz w:val="30"/>
          <w:szCs w:val="30"/>
        </w:rPr>
      </w:pPr>
      <w:r>
        <w:rPr>
          <w:rFonts w:hint="eastAsia" w:ascii="仿宋" w:hAnsi="仿宋" w:eastAsia="仿宋" w:cs="仿宋"/>
          <w:color w:val="000007"/>
          <w:spacing w:val="-5"/>
          <w:sz w:val="30"/>
          <w:szCs w:val="30"/>
        </w:rPr>
        <w:t>（1）海外商标注册的重要性</w:t>
      </w:r>
    </w:p>
    <w:p>
      <w:pPr>
        <w:pStyle w:val="4"/>
        <w:tabs>
          <w:tab w:val="left" w:pos="412"/>
        </w:tabs>
        <w:autoSpaceDE w:val="0"/>
        <w:autoSpaceDN w:val="0"/>
        <w:spacing w:line="560" w:lineRule="exact"/>
        <w:ind w:firstLine="580"/>
        <w:jc w:val="left"/>
        <w:rPr>
          <w:rFonts w:ascii="仿宋" w:hAnsi="仿宋" w:eastAsia="仿宋" w:cs="仿宋"/>
          <w:color w:val="000007"/>
          <w:spacing w:val="-5"/>
          <w:sz w:val="30"/>
          <w:szCs w:val="30"/>
        </w:rPr>
      </w:pPr>
      <w:r>
        <w:rPr>
          <w:rFonts w:hint="eastAsia" w:ascii="仿宋" w:hAnsi="仿宋" w:eastAsia="仿宋" w:cs="仿宋"/>
          <w:color w:val="000007"/>
          <w:spacing w:val="-5"/>
          <w:sz w:val="30"/>
          <w:szCs w:val="30"/>
        </w:rPr>
        <w:t>（2）海外商标注册途径简介</w:t>
      </w:r>
    </w:p>
    <w:p>
      <w:pPr>
        <w:pStyle w:val="4"/>
        <w:tabs>
          <w:tab w:val="left" w:pos="412"/>
        </w:tabs>
        <w:autoSpaceDE w:val="0"/>
        <w:autoSpaceDN w:val="0"/>
        <w:spacing w:line="560" w:lineRule="exact"/>
        <w:ind w:firstLine="580"/>
        <w:jc w:val="left"/>
        <w:rPr>
          <w:rFonts w:hint="eastAsia" w:ascii="仿宋" w:hAnsi="仿宋" w:eastAsia="仿宋" w:cs="仿宋"/>
          <w:color w:val="000007"/>
          <w:spacing w:val="-5"/>
          <w:sz w:val="30"/>
          <w:szCs w:val="30"/>
        </w:rPr>
      </w:pPr>
      <w:r>
        <w:rPr>
          <w:rFonts w:hint="eastAsia" w:ascii="仿宋" w:hAnsi="仿宋" w:eastAsia="仿宋" w:cs="仿宋"/>
          <w:color w:val="000007"/>
          <w:spacing w:val="-5"/>
          <w:sz w:val="30"/>
          <w:szCs w:val="30"/>
        </w:rPr>
        <w:t>（3）海外商标注册成功案例</w:t>
      </w:r>
    </w:p>
    <w:p>
      <w:pPr>
        <w:pStyle w:val="4"/>
        <w:tabs>
          <w:tab w:val="left" w:pos="412"/>
        </w:tabs>
        <w:autoSpaceDE w:val="0"/>
        <w:autoSpaceDN w:val="0"/>
        <w:spacing w:line="560" w:lineRule="exact"/>
        <w:ind w:firstLine="580"/>
        <w:jc w:val="left"/>
        <w:rPr>
          <w:rFonts w:hint="eastAsia" w:ascii="仿宋" w:hAnsi="仿宋" w:eastAsia="仿宋" w:cs="仿宋"/>
          <w:color w:val="000007"/>
          <w:spacing w:val="-5"/>
          <w:sz w:val="30"/>
          <w:szCs w:val="30"/>
        </w:rPr>
      </w:pPr>
    </w:p>
    <w:p>
      <w:pPr>
        <w:pStyle w:val="4"/>
        <w:tabs>
          <w:tab w:val="left" w:pos="412"/>
        </w:tabs>
        <w:autoSpaceDE w:val="0"/>
        <w:autoSpaceDN w:val="0"/>
        <w:spacing w:line="560" w:lineRule="exact"/>
        <w:ind w:firstLine="580"/>
        <w:jc w:val="left"/>
        <w:rPr>
          <w:rFonts w:hint="eastAsia" w:ascii="仿宋" w:hAnsi="仿宋" w:eastAsia="仿宋" w:cs="仿宋"/>
          <w:b/>
          <w:bCs/>
          <w:color w:val="000007"/>
          <w:spacing w:val="-5"/>
          <w:sz w:val="30"/>
          <w:szCs w:val="30"/>
          <w:lang w:val="en-US" w:eastAsia="zh-CN"/>
        </w:rPr>
      </w:pPr>
      <w:r>
        <w:rPr>
          <w:rFonts w:hint="eastAsia" w:ascii="仿宋" w:hAnsi="仿宋" w:eastAsia="仿宋" w:cs="仿宋"/>
          <w:b/>
          <w:bCs/>
          <w:color w:val="000007"/>
          <w:spacing w:val="-5"/>
          <w:sz w:val="30"/>
          <w:szCs w:val="30"/>
          <w:lang w:val="en-US" w:eastAsia="zh-CN"/>
        </w:rPr>
        <w:t>主讲人简介：</w:t>
      </w:r>
    </w:p>
    <w:p>
      <w:pPr>
        <w:pStyle w:val="5"/>
        <w:ind w:firstLine="560"/>
        <w:rPr>
          <w:rFonts w:ascii="仿宋" w:hAnsi="仿宋" w:eastAsia="仿宋" w:cs="仿宋"/>
          <w:bCs/>
          <w:sz w:val="28"/>
          <w:szCs w:val="28"/>
        </w:rPr>
      </w:pPr>
      <w:r>
        <w:rPr>
          <w:rFonts w:hint="eastAsia" w:ascii="仿宋" w:hAnsi="仿宋" w:eastAsia="仿宋" w:cs="仿宋"/>
          <w:bCs/>
          <w:sz w:val="28"/>
          <w:szCs w:val="28"/>
        </w:rPr>
        <w:t>龚金霞，毕业于西南政法大学，法</w:t>
      </w:r>
      <w:bookmarkStart w:id="0" w:name="_GoBack"/>
      <w:bookmarkEnd w:id="0"/>
      <w:r>
        <w:rPr>
          <w:rFonts w:hint="eastAsia" w:ascii="仿宋" w:hAnsi="仿宋" w:eastAsia="仿宋" w:cs="仿宋"/>
          <w:bCs/>
          <w:sz w:val="28"/>
          <w:szCs w:val="28"/>
        </w:rPr>
        <w:t>学专业，学士学位，现任珠海智专专利商标代理有限公司国际部经理</w:t>
      </w:r>
    </w:p>
    <w:p>
      <w:pPr>
        <w:pStyle w:val="5"/>
        <w:ind w:firstLine="560"/>
        <w:rPr>
          <w:rFonts w:ascii="仿宋" w:hAnsi="仿宋" w:eastAsia="仿宋" w:cs="仿宋"/>
          <w:bCs/>
          <w:sz w:val="28"/>
          <w:szCs w:val="28"/>
        </w:rPr>
      </w:pPr>
      <w:r>
        <w:rPr>
          <w:rFonts w:hint="eastAsia" w:ascii="仿宋" w:hAnsi="仿宋" w:eastAsia="仿宋" w:cs="仿宋"/>
          <w:bCs/>
          <w:sz w:val="28"/>
          <w:szCs w:val="28"/>
        </w:rPr>
        <w:t>自2002年开始从事知识产权工作，至今已在知识产权领域从业19年。对于涉外知识产权实务、商标实务等方面积累了丰富的经验，已经办理的案件涉及美、欧、日、韩、中东、东南亚及美洲、非洲等超过100多个国家或地区。</w:t>
      </w:r>
    </w:p>
    <w:p>
      <w:pPr>
        <w:pStyle w:val="5"/>
        <w:ind w:firstLine="560"/>
        <w:rPr>
          <w:rFonts w:hint="default" w:ascii="仿宋" w:hAnsi="仿宋" w:eastAsia="仿宋" w:cs="仿宋"/>
          <w:color w:val="000007"/>
          <w:spacing w:val="-5"/>
          <w:sz w:val="30"/>
          <w:szCs w:val="30"/>
          <w:lang w:val="en-US" w:eastAsia="zh-CN"/>
        </w:rPr>
      </w:pPr>
      <w:r>
        <w:rPr>
          <w:rFonts w:hint="eastAsia" w:ascii="仿宋" w:hAnsi="仿宋" w:eastAsia="仿宋" w:cs="仿宋"/>
          <w:bCs/>
          <w:sz w:val="28"/>
          <w:szCs w:val="28"/>
        </w:rPr>
        <w:t>龚女士曾代理的一美国客户的中国商标注册申请，采用了申请前的检索、对引证商标提出撤三请求及提出商标新申请、申请驳回后的复审及重新提出新申请、上诉等策略，最终该商标被核准注册。龚女士曾代理欧洲客户的多个马德里国际商标注册进入中国申请的驳回复审，最终复审成功，客户的商标被核准注册。龚女士曾代理多个中国客户委托的商标驳回复审、异议、异议答辩等，最终为客户赢得了商标权。龚女士曾代理中国客户委托的马德里国际商标注册申请，最终商标在100多个国家被核准注册。龚女士曾全程参与某中国客户的商标的在澳大利亚维权行动，成功维护了客户的商业利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F430D"/>
    <w:rsid w:val="10847DB4"/>
    <w:rsid w:val="215F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1"/>
    <w:basedOn w:val="1"/>
    <w:qFormat/>
    <w:uiPriority w:val="34"/>
    <w:pPr>
      <w:ind w:firstLine="420" w:firstLineChars="200"/>
    </w:pPr>
    <w:rPr>
      <w:rFonts w:ascii="Calibri" w:hAnsi="Calibri"/>
      <w:szCs w:val="22"/>
    </w:rPr>
  </w:style>
  <w:style w:type="paragraph" w:styleId="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2021-05-11T01:24:00Z</dcterms:created>
  <dc:creator>dell</dc:creator>
  <cp:lastModifiedBy>dell</cp:lastModifiedBy>
  <dcterms:modified xsi:type="dcterms:W3CDTF">2021-05-11T01:25:33Z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